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AC86" w14:textId="77777777" w:rsidR="009132D2" w:rsidRDefault="00000000">
      <w:pPr>
        <w:pStyle w:val="3"/>
        <w:rPr>
          <w:b w:val="0"/>
          <w:sz w:val="24"/>
          <w:szCs w:val="24"/>
        </w:rPr>
      </w:pPr>
      <w:bookmarkStart w:id="0" w:name="_bc0ejvfzgm5g" w:colFirst="0" w:colLast="0"/>
      <w:bookmarkStart w:id="1" w:name="_tgd0p4ruhg7k" w:colFirst="0" w:colLast="0"/>
      <w:bookmarkEnd w:id="0"/>
      <w:bookmarkEnd w:id="1"/>
      <w:r>
        <w:t xml:space="preserve">Додаток 3 </w:t>
      </w:r>
      <w:r>
        <w:br/>
      </w:r>
      <w:r>
        <w:rPr>
          <w:b w:val="0"/>
          <w:sz w:val="24"/>
          <w:szCs w:val="24"/>
        </w:rPr>
        <w:t xml:space="preserve">до наказу «Про планування та організацію освітнього процесу 2025/2026 </w:t>
      </w:r>
      <w:proofErr w:type="spellStart"/>
      <w:r>
        <w:rPr>
          <w:b w:val="0"/>
          <w:sz w:val="24"/>
          <w:szCs w:val="24"/>
        </w:rPr>
        <w:t>н.р</w:t>
      </w:r>
      <w:proofErr w:type="spellEnd"/>
      <w:r>
        <w:rPr>
          <w:b w:val="0"/>
          <w:sz w:val="24"/>
          <w:szCs w:val="24"/>
        </w:rPr>
        <w:t>.»</w:t>
      </w:r>
    </w:p>
    <w:p w14:paraId="22B67D11" w14:textId="77777777" w:rsidR="009132D2" w:rsidRDefault="009132D2">
      <w:pPr>
        <w:jc w:val="center"/>
        <w:rPr>
          <w:sz w:val="16"/>
          <w:szCs w:val="16"/>
        </w:rPr>
      </w:pPr>
    </w:p>
    <w:p w14:paraId="4DE8B204" w14:textId="77777777" w:rsidR="009132D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Вимоги та рекомендації щодо </w:t>
      </w:r>
      <w:proofErr w:type="spellStart"/>
      <w:r>
        <w:rPr>
          <w:rFonts w:ascii="Times New Roman" w:eastAsia="Times New Roman" w:hAnsi="Times New Roman" w:cs="Times New Roman"/>
          <w:b/>
          <w:sz w:val="28"/>
          <w:szCs w:val="28"/>
        </w:rPr>
        <w:t>проєктування</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br/>
        <w:t xml:space="preserve">освітніх програм та навчальних планів </w:t>
      </w:r>
    </w:p>
    <w:p w14:paraId="7302302C" w14:textId="77777777" w:rsidR="009132D2" w:rsidRDefault="00000000">
      <w:pPr>
        <w:jc w:val="center"/>
        <w:rPr>
          <w:rFonts w:ascii="Times New Roman" w:eastAsia="Times New Roman" w:hAnsi="Times New Roman" w:cs="Times New Roman"/>
          <w:b/>
          <w:i/>
          <w:color w:val="0B5394"/>
          <w:sz w:val="26"/>
          <w:szCs w:val="26"/>
        </w:rPr>
      </w:pPr>
      <w:r>
        <w:rPr>
          <w:rFonts w:ascii="Times New Roman" w:eastAsia="Times New Roman" w:hAnsi="Times New Roman" w:cs="Times New Roman"/>
          <w:b/>
          <w:i/>
          <w:color w:val="0B5394"/>
          <w:sz w:val="26"/>
          <w:szCs w:val="26"/>
        </w:rPr>
        <w:t xml:space="preserve">Формування переліку освітніх компонентів та структурно-логічної схеми освітньої програми </w:t>
      </w:r>
    </w:p>
    <w:p w14:paraId="35FEF754"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Освітня програма</w:t>
      </w:r>
      <w:r>
        <w:rPr>
          <w:rFonts w:ascii="Times New Roman" w:eastAsia="Times New Roman" w:hAnsi="Times New Roman" w:cs="Times New Roman"/>
          <w:sz w:val="26"/>
          <w:szCs w:val="26"/>
        </w:rPr>
        <w:t xml:space="preserve"> (далі – ОП) є нормативним документом університету, яка, зокрема, визначає перелік навчальних дисциплін (освітніх компонентів), їх обсяг, логічну послідовність вивчення та вид семестрового контролю. Процедури розроблення та затвердження освітніх програм та їх структура визначаються </w:t>
      </w:r>
      <w:r>
        <w:rPr>
          <w:rFonts w:ascii="Times New Roman" w:eastAsia="Times New Roman" w:hAnsi="Times New Roman" w:cs="Times New Roman"/>
          <w:i/>
          <w:sz w:val="26"/>
          <w:szCs w:val="26"/>
        </w:rPr>
        <w:t>Положенням про освітні програми в КПІ ім. Ігоря Сікорського</w:t>
      </w:r>
      <w:r>
        <w:rPr>
          <w:rFonts w:ascii="Times New Roman" w:eastAsia="Times New Roman" w:hAnsi="Times New Roman" w:cs="Times New Roman"/>
          <w:sz w:val="26"/>
          <w:szCs w:val="26"/>
        </w:rPr>
        <w:t xml:space="preserve">. </w:t>
      </w:r>
    </w:p>
    <w:p w14:paraId="1163285C" w14:textId="77777777" w:rsidR="009132D2" w:rsidRDefault="00000000">
      <w:pPr>
        <w:spacing w:line="240" w:lineRule="auto"/>
        <w:ind w:firstLine="56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Освітній компонент </w:t>
      </w:r>
      <w:r>
        <w:rPr>
          <w:rFonts w:ascii="Times New Roman" w:eastAsia="Times New Roman" w:hAnsi="Times New Roman" w:cs="Times New Roman"/>
          <w:sz w:val="26"/>
          <w:szCs w:val="26"/>
        </w:rPr>
        <w:t xml:space="preserve">(далі – ОК) – складова освітньої програми (навчальна дисципліна або її частина, курсова робота /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практика, кваліфікаційна робота), яка спрямована на досягнення визначених результатів навчання, оцінюється окремо і за результатами оцінювання дає право на присвоєння здобувачеві вищої освіти відповідної кількості кредитів ЄКТС.</w:t>
      </w:r>
    </w:p>
    <w:p w14:paraId="241018E8"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Кожні компетентність та результат навчання освітньої програми, що відповідає вимогам стандарту вищої освіти (далі – СВО) або унікальні для конкретної ОП, має бути забезпечена першочергово нормативними (обов’язковими) дисциплінами (нормативна складова ОП). Компетентності та результати навчання ОП можуть бути підсилені дисциплінами вільного вибору (вибіркова складова ОП). Отже, освітні компоненти в освітній програмі та навчальному плані мають забезпечувати формування компетентностей визначених ОП і поділяються на нормативні (обов’язкові) та вибіркові. </w:t>
      </w:r>
    </w:p>
    <w:p w14:paraId="18983AB3"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Для вимірювання обсягу навчального навантаження здобувачів вищої освіти, необхідного для досягнення визначених (очікуваних) результатів навчання використовується кредит Європейської кредитної </w:t>
      </w:r>
      <w:proofErr w:type="spellStart"/>
      <w:r>
        <w:rPr>
          <w:rFonts w:ascii="Times New Roman" w:eastAsia="Times New Roman" w:hAnsi="Times New Roman" w:cs="Times New Roman"/>
          <w:sz w:val="26"/>
          <w:szCs w:val="26"/>
        </w:rPr>
        <w:t>трансферно</w:t>
      </w:r>
      <w:proofErr w:type="spellEnd"/>
      <w:r>
        <w:rPr>
          <w:rFonts w:ascii="Times New Roman" w:eastAsia="Times New Roman" w:hAnsi="Times New Roman" w:cs="Times New Roman"/>
          <w:sz w:val="26"/>
          <w:szCs w:val="26"/>
        </w:rPr>
        <w:t>-накопичувальної системи (далі – кредит ЄКТС). Обсяг одного кредиту ЄКТС становить 30 годин. Навантаження одного навчального року за денною формою навчання становить 60 кредитів ЄКТС.</w:t>
      </w:r>
    </w:p>
    <w:p w14:paraId="2310A445"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Обсяг </w:t>
      </w:r>
      <w:r>
        <w:rPr>
          <w:rFonts w:ascii="Times New Roman" w:eastAsia="Times New Roman" w:hAnsi="Times New Roman" w:cs="Times New Roman"/>
          <w:b/>
          <w:sz w:val="26"/>
          <w:szCs w:val="26"/>
        </w:rPr>
        <w:t xml:space="preserve">нормативної </w:t>
      </w:r>
      <w:r>
        <w:rPr>
          <w:rFonts w:ascii="Times New Roman" w:eastAsia="Times New Roman" w:hAnsi="Times New Roman" w:cs="Times New Roman"/>
          <w:sz w:val="26"/>
          <w:szCs w:val="26"/>
        </w:rPr>
        <w:t>складової ОП має бути спрямований на формування компетентностей та результатів навчання визначених відповідним СВО (за наявності) і програмними результатами за певною ОП. Структура та перелік освітніх компонентів для всіх ОП першого (бакалаврського) рівня вищої освіти певної спеціальності за першим роком підготовки має бути узгодженим в межах факультету / навчально-наукового інституту, враховуючи умови конкурсних пропозицій прийому та закріплення студентів за освітніми програмами після 1 курсу.</w:t>
      </w:r>
    </w:p>
    <w:p w14:paraId="507AAA3B"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Обсяг </w:t>
      </w:r>
      <w:r>
        <w:rPr>
          <w:rFonts w:ascii="Times New Roman" w:eastAsia="Times New Roman" w:hAnsi="Times New Roman" w:cs="Times New Roman"/>
          <w:b/>
          <w:sz w:val="26"/>
          <w:szCs w:val="26"/>
        </w:rPr>
        <w:t xml:space="preserve">вибіркової </w:t>
      </w:r>
      <w:r>
        <w:rPr>
          <w:rFonts w:ascii="Times New Roman" w:eastAsia="Times New Roman" w:hAnsi="Times New Roman" w:cs="Times New Roman"/>
          <w:sz w:val="26"/>
          <w:szCs w:val="26"/>
        </w:rPr>
        <w:t xml:space="preserve">складової ОП має відповідати вимогам статті 62 Закону «Про вищу освіту», що становить: не менш як 25% обсягу програми підготовки (для ОПП бакалаврів – не менше 60 кредитів ЄКТС, для ОПП магістра – не менше 23 кредитів ЄКТС, для ОНП магістра – не менше 30 кредитів ЄКТС) та не менше, ніж 10% для </w:t>
      </w:r>
      <w:r>
        <w:rPr>
          <w:rFonts w:ascii="Times New Roman" w:eastAsia="Times New Roman" w:hAnsi="Times New Roman" w:cs="Times New Roman"/>
          <w:sz w:val="26"/>
          <w:szCs w:val="26"/>
        </w:rPr>
        <w:lastRenderedPageBreak/>
        <w:t xml:space="preserve">спеціальностей, що передбачають доступ до професій, для яких запроваджено додаткове регулювання (далі – регульовані спеціальності). </w:t>
      </w:r>
    </w:p>
    <w:p w14:paraId="0CE177FF"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Важливою складовою ОП є структурно-логічна схема, яка визначає логічну послідовність опанування освітніх компонентів та міждисциплінарні зв'язки між ними.</w:t>
      </w:r>
    </w:p>
    <w:p w14:paraId="40C52DF4"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Складаючи перелік освітніх компонентів та структурно-логічну схему ОП потрібно враховувати наступне:</w:t>
      </w:r>
    </w:p>
    <w:p w14:paraId="6780CBF2"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ОК має складати цілу кількість кредитів ЄКТС, та  плануватися для вивчення- в одному семестрі;</w:t>
      </w:r>
    </w:p>
    <w:p w14:paraId="531CE8BE"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навчальної дисципліни циклу професійної підготовки  має становити не менше 4 кредитів ЄКТС;</w:t>
      </w:r>
    </w:p>
    <w:p w14:paraId="17199519"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навчальні дисципліни  обсягом від 7 кредитів ЄКТС (без урахування КР/КП) можна розподіляти на певні частини (освітні компоненти) для послідовного їх вивчення в окремих семестрах, оптимальний обсяг таких частин складає від 4 до 6 кредитів ЄКТС, а мінімальний обсяг частини – не менше 3 кредитів ЄКТС;</w:t>
      </w:r>
    </w:p>
    <w:p w14:paraId="4B798BEA"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 семестрового контролю «Екзамен» доцільно планувати для ОК професійної підготовки не менше 5 кредитів ЄКТС та не менше 4 кредитів ЄКТС - для ОК загальної підготовки;</w:t>
      </w:r>
    </w:p>
    <w:p w14:paraId="10F973D1"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семестрових контролів не повинна перевищувати шістнадцяти на навчальний рік;</w:t>
      </w:r>
    </w:p>
    <w:p w14:paraId="4CDCCA4E"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семестрах з тривалістю екзаменаційної сесії два тижні планується від 2 до 3 екзаменів; у восьмому семестрі ОП підготовки бакалаврів освітні компоненти з формою контролю «Екзамен» не плануються;</w:t>
      </w:r>
    </w:p>
    <w:p w14:paraId="4D49E0B6"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розробленні освітніх програм для включення навчальних дисциплін, що формують загальні компетентності згідно з СВО, до переліку обов’язкових ОК циклу загальної підготовки доцільно обрати певну навчальну дисципліну відповідного напрямку з </w:t>
      </w:r>
      <w:r>
        <w:rPr>
          <w:rFonts w:ascii="Times New Roman" w:eastAsia="Times New Roman" w:hAnsi="Times New Roman" w:cs="Times New Roman"/>
          <w:i/>
          <w:sz w:val="24"/>
          <w:szCs w:val="24"/>
        </w:rPr>
        <w:t xml:space="preserve">Довідника </w:t>
      </w:r>
      <w:proofErr w:type="spellStart"/>
      <w:r>
        <w:rPr>
          <w:rFonts w:ascii="Times New Roman" w:eastAsia="Times New Roman" w:hAnsi="Times New Roman" w:cs="Times New Roman"/>
          <w:i/>
          <w:sz w:val="24"/>
          <w:szCs w:val="24"/>
        </w:rPr>
        <w:t>загальноуніверситетських</w:t>
      </w:r>
      <w:proofErr w:type="spellEnd"/>
      <w:r>
        <w:rPr>
          <w:rFonts w:ascii="Times New Roman" w:eastAsia="Times New Roman" w:hAnsi="Times New Roman" w:cs="Times New Roman"/>
          <w:i/>
          <w:sz w:val="24"/>
          <w:szCs w:val="24"/>
        </w:rPr>
        <w:t xml:space="preserve"> навчальних дисциплін</w:t>
      </w:r>
      <w:r>
        <w:rPr>
          <w:rFonts w:ascii="Times New Roman" w:eastAsia="Times New Roman" w:hAnsi="Times New Roman" w:cs="Times New Roman"/>
          <w:sz w:val="24"/>
          <w:szCs w:val="24"/>
        </w:rPr>
        <w:t xml:space="preserve"> для розробників освітніх програм;</w:t>
      </w:r>
    </w:p>
    <w:p w14:paraId="263E7FCF"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врахувати в ОП підготовки бакалаврів в матрицях відповідності програмних компетентностей компонентам освітньої програми забезпечення набуття здобувачами </w:t>
      </w:r>
      <w:proofErr w:type="spellStart"/>
      <w:r>
        <w:rPr>
          <w:rFonts w:ascii="Times New Roman" w:eastAsia="Times New Roman" w:hAnsi="Times New Roman" w:cs="Times New Roman"/>
          <w:sz w:val="24"/>
          <w:szCs w:val="24"/>
        </w:rPr>
        <w:t>загальноі</w:t>
      </w:r>
      <w:proofErr w:type="spellEnd"/>
      <w:r>
        <w:rPr>
          <w:rFonts w:ascii="Times New Roman" w:eastAsia="Times New Roman" w:hAnsi="Times New Roman" w:cs="Times New Roman"/>
          <w:sz w:val="24"/>
          <w:szCs w:val="24"/>
        </w:rPr>
        <w:t xml:space="preserve">̈ компетентності «Здатність ухвалювати рішення та діяти, дотримуючись принципу неприпустимості </w:t>
      </w:r>
      <w:proofErr w:type="spellStart"/>
      <w:r>
        <w:rPr>
          <w:rFonts w:ascii="Times New Roman" w:eastAsia="Times New Roman" w:hAnsi="Times New Roman" w:cs="Times New Roman"/>
          <w:sz w:val="24"/>
          <w:szCs w:val="24"/>
        </w:rPr>
        <w:t>корупціі</w:t>
      </w:r>
      <w:proofErr w:type="spellEnd"/>
      <w:r>
        <w:rPr>
          <w:rFonts w:ascii="Times New Roman" w:eastAsia="Times New Roman" w:hAnsi="Times New Roman" w:cs="Times New Roman"/>
          <w:sz w:val="24"/>
          <w:szCs w:val="24"/>
        </w:rPr>
        <w:t xml:space="preserve">̈ та будь-яких інших проявів </w:t>
      </w:r>
      <w:proofErr w:type="spellStart"/>
      <w:r>
        <w:rPr>
          <w:rFonts w:ascii="Times New Roman" w:eastAsia="Times New Roman" w:hAnsi="Times New Roman" w:cs="Times New Roman"/>
          <w:sz w:val="24"/>
          <w:szCs w:val="24"/>
        </w:rPr>
        <w:t>недоброчесності</w:t>
      </w:r>
      <w:proofErr w:type="spellEnd"/>
      <w:r>
        <w:rPr>
          <w:rFonts w:ascii="Times New Roman" w:eastAsia="Times New Roman" w:hAnsi="Times New Roman" w:cs="Times New Roman"/>
          <w:sz w:val="24"/>
          <w:szCs w:val="24"/>
        </w:rPr>
        <w:t>» відповідно включеними до освітніх програм дисципліною з української мови та дисципліною з права;</w:t>
      </w:r>
    </w:p>
    <w:p w14:paraId="46B9EBEF"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дисципліни, за якою планується курсова робота/</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має бути не менше  4 кредитів ЄКТС;</w:t>
      </w:r>
    </w:p>
    <w:p w14:paraId="659D1174"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семестрі не може плануватися більше одного курсового проєкту/роботи, семестр, в якому планується курсова робота/</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має бути тривалістю не менше 10 тижнів;</w:t>
      </w:r>
    </w:p>
    <w:p w14:paraId="55B382FB"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освітній компонент  «Курсова робота» планується обсягом 1 кредит ЄКТС, «Курсовий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 1 або 2 кредити ЄКТС, «Міждисциплінарна курсова робота»/«Міждисциплінарний курсовий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 2 або 3 кредити ЄКТС (залежно від характеру навчальних завдань);</w:t>
      </w:r>
    </w:p>
    <w:p w14:paraId="62B4A9FA"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забезпечення ефективності планування та організації освітнього процесу, </w:t>
      </w:r>
      <w:r>
        <w:rPr>
          <w:rFonts w:ascii="Times New Roman" w:eastAsia="Times New Roman" w:hAnsi="Times New Roman" w:cs="Times New Roman"/>
          <w:b/>
          <w:sz w:val="24"/>
          <w:szCs w:val="24"/>
        </w:rPr>
        <w:t>не дозволяється</w:t>
      </w:r>
      <w:r>
        <w:rPr>
          <w:rFonts w:ascii="Times New Roman" w:eastAsia="Times New Roman" w:hAnsi="Times New Roman" w:cs="Times New Roman"/>
          <w:sz w:val="24"/>
          <w:szCs w:val="24"/>
        </w:rPr>
        <w:t xml:space="preserve"> планувати вибіркові дисципліни у перший рік підготовки бакалаврів та перший семестр підготовки магістрів</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докторів філософії; рекомендовано планувати перші два роки підготовки бакалаврів без вибіркових дисциплін Ф-Каталогу; </w:t>
      </w:r>
    </w:p>
    <w:p w14:paraId="47E9D102" w14:textId="77777777" w:rsidR="009132D2"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доцільно планувати практику в семестрі, де вивчаються дисципліни ЗУ-Каталогу, для яких заняття проводяться в спільних «</w:t>
      </w:r>
      <w:proofErr w:type="spellStart"/>
      <w:r>
        <w:rPr>
          <w:rFonts w:ascii="Times New Roman" w:eastAsia="Times New Roman" w:hAnsi="Times New Roman" w:cs="Times New Roman"/>
          <w:sz w:val="24"/>
          <w:szCs w:val="24"/>
        </w:rPr>
        <w:t>міжфакультетських</w:t>
      </w:r>
      <w:proofErr w:type="spellEnd"/>
      <w:r>
        <w:rPr>
          <w:rFonts w:ascii="Times New Roman" w:eastAsia="Times New Roman" w:hAnsi="Times New Roman" w:cs="Times New Roman"/>
          <w:sz w:val="24"/>
          <w:szCs w:val="24"/>
        </w:rPr>
        <w:t>» навчальних групах.</w:t>
      </w:r>
    </w:p>
    <w:p w14:paraId="700416DC" w14:textId="77777777" w:rsidR="009132D2" w:rsidRDefault="009132D2">
      <w:pPr>
        <w:ind w:firstLine="566"/>
        <w:jc w:val="both"/>
        <w:rPr>
          <w:rFonts w:ascii="Times New Roman" w:eastAsia="Times New Roman" w:hAnsi="Times New Roman" w:cs="Times New Roman"/>
          <w:b/>
          <w:sz w:val="24"/>
          <w:szCs w:val="24"/>
        </w:rPr>
      </w:pPr>
    </w:p>
    <w:p w14:paraId="67EDEDA8" w14:textId="77777777" w:rsidR="009132D2" w:rsidRDefault="00000000">
      <w:pPr>
        <w:ind w:firstLine="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Вибіркові дисципліни в ОП підготовки бакалаврів </w:t>
      </w:r>
      <w:r>
        <w:rPr>
          <w:rFonts w:ascii="Times New Roman" w:eastAsia="Times New Roman" w:hAnsi="Times New Roman" w:cs="Times New Roman"/>
          <w:sz w:val="26"/>
          <w:szCs w:val="26"/>
        </w:rPr>
        <w:t>(не менше 25% від загального обсягу ОП за нерегульованими спеціальностями та не менше 10% від загального обсягу ОП за регульованими спеціальностями) поділяють на:</w:t>
      </w:r>
    </w:p>
    <w:p w14:paraId="2DC32A10" w14:textId="77777777" w:rsidR="009132D2" w:rsidRDefault="00000000">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загальної підготовки: 2 освітніх компоненти з ЗУ-Каталогу по 2 кредити ЄКТС кожний з семестровим контролем «Залік» (плануються на 2 курс);</w:t>
      </w:r>
    </w:p>
    <w:p w14:paraId="33316E19" w14:textId="77777777" w:rsidR="009132D2" w:rsidRDefault="00000000">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професійної підготовки: від 14 освітніх компонентів з Ф-Каталогу обсягом по 4 кредити ЄКТС кожний з семестровим контролем «Залік» (в ОП за нерегульованими спеціальностями) і від 5 освітніх компонентів з Ф-Каталогу обсягом по 4 кредити ЄКТС кожний з семестровим контролем «Залік» (в ОП за регульованими спеціальностями).</w:t>
      </w:r>
    </w:p>
    <w:p w14:paraId="0A597719" w14:textId="77777777" w:rsidR="009132D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забезпечення уніфікації та можливості «широкого» вибору необхідно планувати однакову кількість аудиторних годин, наявність/відсутність індивідуальних семестрових завдань та МКР  за всіма вибірковими дисциплінами циклу професійної підготовки (як мінімум в межах семестру).</w:t>
      </w:r>
    </w:p>
    <w:p w14:paraId="253AAE89" w14:textId="77777777" w:rsidR="009132D2" w:rsidRDefault="00000000">
      <w:pPr>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74676F0" w14:textId="77777777" w:rsidR="009132D2" w:rsidRDefault="00000000">
      <w:pPr>
        <w:ind w:firstLine="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Вибіркові дисципліни в ОП підготовки магістрів </w:t>
      </w:r>
      <w:r>
        <w:rPr>
          <w:rFonts w:ascii="Times New Roman" w:eastAsia="Times New Roman" w:hAnsi="Times New Roman" w:cs="Times New Roman"/>
          <w:sz w:val="26"/>
          <w:szCs w:val="26"/>
        </w:rPr>
        <w:t xml:space="preserve">(не менше 25% від загального обсягу ОП за нерегульованими спеціальностями та не менше 10% від загального обсягу ОП за регульованими спеціальностями) плануються для обрання з Ф-Каталогів дисциплін циклу професійної підготовки за такою </w:t>
      </w:r>
      <w:proofErr w:type="spellStart"/>
      <w:r>
        <w:rPr>
          <w:rFonts w:ascii="Times New Roman" w:eastAsia="Times New Roman" w:hAnsi="Times New Roman" w:cs="Times New Roman"/>
          <w:sz w:val="26"/>
          <w:szCs w:val="26"/>
        </w:rPr>
        <w:t>структурою:АС</w:t>
      </w:r>
      <w:proofErr w:type="spellEnd"/>
      <w:r>
        <w:rPr>
          <w:rFonts w:ascii="Times New Roman" w:eastAsia="Times New Roman" w:hAnsi="Times New Roman" w:cs="Times New Roman"/>
          <w:sz w:val="26"/>
          <w:szCs w:val="26"/>
        </w:rPr>
        <w:t xml:space="preserve"> </w:t>
      </w:r>
    </w:p>
    <w:p w14:paraId="454DC5BB" w14:textId="77777777" w:rsidR="009132D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ОП за нерегульованими спеціальностями:</w:t>
      </w:r>
    </w:p>
    <w:p w14:paraId="53A76A07" w14:textId="77777777" w:rsidR="009132D2" w:rsidRDefault="00000000">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освітньо-професійних програмах: 3 освітніх компоненти обсягом по 5 кредитів ЄКТС з семестровим контролем «Екзамен» та 2 освітніх компоненти обсягом по 4 кредити ЄКТС кожний з семестровим контролем «Залік»;</w:t>
      </w:r>
    </w:p>
    <w:p w14:paraId="589B793D" w14:textId="77777777" w:rsidR="009132D2" w:rsidRDefault="00000000">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освітньо-наукових програмах: 3 освітніх компоненти обсягом по 5 кредитів ЄКТС кожний з семестровим контролем «Екзамен» та 4 освітніх компоненти обсягом по 4 кредити ЄКТС кожний з семестровим контролем «Залік»;</w:t>
      </w:r>
    </w:p>
    <w:p w14:paraId="5F870C2C" w14:textId="77777777" w:rsidR="009132D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ОП за регульованими спеціальностями: кількість освітніх компонентів обирається довільно, але за визначеними вище правилами щодо обсягів ОК і семестрових контролів.</w:t>
      </w:r>
    </w:p>
    <w:p w14:paraId="5AEAED38" w14:textId="77777777" w:rsidR="009132D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19B5324" w14:textId="77777777" w:rsidR="009132D2" w:rsidRDefault="009132D2">
      <w:pPr>
        <w:ind w:firstLine="566"/>
        <w:jc w:val="both"/>
        <w:rPr>
          <w:rFonts w:ascii="Times New Roman" w:eastAsia="Times New Roman" w:hAnsi="Times New Roman" w:cs="Times New Roman"/>
          <w:b/>
          <w:sz w:val="24"/>
          <w:szCs w:val="24"/>
        </w:rPr>
      </w:pPr>
    </w:p>
    <w:p w14:paraId="3ED13EBB" w14:textId="77777777" w:rsidR="009132D2" w:rsidRDefault="009132D2">
      <w:pPr>
        <w:ind w:firstLine="566"/>
        <w:jc w:val="center"/>
        <w:rPr>
          <w:rFonts w:ascii="Times New Roman" w:eastAsia="Times New Roman" w:hAnsi="Times New Roman" w:cs="Times New Roman"/>
          <w:b/>
          <w:i/>
          <w:color w:val="0B5394"/>
          <w:sz w:val="26"/>
          <w:szCs w:val="26"/>
        </w:rPr>
      </w:pPr>
    </w:p>
    <w:p w14:paraId="7C605DAE" w14:textId="77777777" w:rsidR="009132D2" w:rsidRDefault="00000000">
      <w:pPr>
        <w:pBdr>
          <w:top w:val="nil"/>
          <w:left w:val="nil"/>
          <w:bottom w:val="nil"/>
          <w:right w:val="nil"/>
          <w:between w:val="nil"/>
        </w:pBdr>
        <w:jc w:val="center"/>
        <w:rPr>
          <w:rFonts w:ascii="Times New Roman" w:eastAsia="Times New Roman" w:hAnsi="Times New Roman" w:cs="Times New Roman"/>
          <w:b/>
          <w:i/>
          <w:color w:val="0B5394"/>
          <w:sz w:val="26"/>
          <w:szCs w:val="26"/>
        </w:rPr>
      </w:pPr>
      <w:r>
        <w:br w:type="page"/>
      </w:r>
    </w:p>
    <w:p w14:paraId="17F6C809" w14:textId="77777777" w:rsidR="009132D2" w:rsidRDefault="00000000">
      <w:pPr>
        <w:pBdr>
          <w:top w:val="nil"/>
          <w:left w:val="nil"/>
          <w:bottom w:val="nil"/>
          <w:right w:val="nil"/>
          <w:between w:val="nil"/>
        </w:pBdr>
        <w:jc w:val="center"/>
        <w:rPr>
          <w:rFonts w:ascii="Times New Roman" w:eastAsia="Times New Roman" w:hAnsi="Times New Roman" w:cs="Times New Roman"/>
          <w:b/>
          <w:i/>
          <w:color w:val="0B5394"/>
          <w:sz w:val="26"/>
          <w:szCs w:val="26"/>
        </w:rPr>
      </w:pPr>
      <w:r>
        <w:rPr>
          <w:rFonts w:ascii="Times New Roman" w:eastAsia="Times New Roman" w:hAnsi="Times New Roman" w:cs="Times New Roman"/>
          <w:b/>
          <w:i/>
          <w:color w:val="0B5394"/>
          <w:sz w:val="26"/>
          <w:szCs w:val="26"/>
        </w:rPr>
        <w:lastRenderedPageBreak/>
        <w:t>Правила формування назв освітніх компонентів</w:t>
      </w:r>
    </w:p>
    <w:p w14:paraId="7164C36E" w14:textId="77777777" w:rsidR="009132D2" w:rsidRDefault="00000000">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Назва освітнього компонента формується з назви навчальної дисципліни та назви її частини (за наявності). </w:t>
      </w:r>
    </w:p>
    <w:p w14:paraId="41AA3BB6" w14:textId="77777777" w:rsidR="009132D2" w:rsidRDefault="00000000">
      <w:pPr>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українських назвах навчальних дисциплін (освітніх компонентів) допускаються ЛИШЕ кириличні символи.</w:t>
      </w:r>
    </w:p>
    <w:p w14:paraId="3AC18C8F" w14:textId="77777777" w:rsidR="009132D2" w:rsidRDefault="00000000">
      <w:pPr>
        <w:spacing w:before="240" w:after="240" w:line="252" w:lineRule="auto"/>
        <w:ind w:firstLine="4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Написання назви освітнього компонента, що є навчальною дисципліною</w:t>
      </w:r>
      <w:r>
        <w:rPr>
          <w:rFonts w:ascii="Times New Roman" w:eastAsia="Times New Roman" w:hAnsi="Times New Roman" w:cs="Times New Roman"/>
          <w:i/>
          <w:sz w:val="24"/>
          <w:szCs w:val="24"/>
        </w:rPr>
        <w:br/>
        <w:t xml:space="preserve">  з ОДНИМ семестровим контролем</w:t>
      </w:r>
    </w:p>
    <w:tbl>
      <w:tblPr>
        <w:tblStyle w:val="a7"/>
        <w:tblW w:w="41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85"/>
      </w:tblGrid>
      <w:tr w:rsidR="009132D2" w14:paraId="07566FBD" w14:textId="77777777">
        <w:tc>
          <w:tcPr>
            <w:tcW w:w="418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2E3A22D1" w14:textId="77777777" w:rsidR="009132D2"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Назва навчальної дисципліни</w:t>
            </w:r>
          </w:p>
        </w:tc>
      </w:tr>
    </w:tbl>
    <w:p w14:paraId="1A0967E6" w14:textId="77777777" w:rsidR="009132D2" w:rsidRDefault="009132D2">
      <w:pPr>
        <w:spacing w:line="240" w:lineRule="auto"/>
        <w:ind w:left="560" w:firstLine="280"/>
        <w:jc w:val="both"/>
        <w:rPr>
          <w:rFonts w:ascii="Times New Roman" w:eastAsia="Times New Roman" w:hAnsi="Times New Roman" w:cs="Times New Roman"/>
          <w:i/>
          <w:sz w:val="6"/>
          <w:szCs w:val="6"/>
          <w:u w:val="single"/>
        </w:rPr>
      </w:pPr>
    </w:p>
    <w:tbl>
      <w:tblPr>
        <w:tblStyle w:val="a8"/>
        <w:tblW w:w="6525" w:type="dxa"/>
        <w:jc w:val="right"/>
        <w:tblInd w:w="0" w:type="dxa"/>
        <w:tblLayout w:type="fixed"/>
        <w:tblLook w:val="0600" w:firstRow="0" w:lastRow="0" w:firstColumn="0" w:lastColumn="0" w:noHBand="1" w:noVBand="1"/>
      </w:tblPr>
      <w:tblGrid>
        <w:gridCol w:w="1455"/>
        <w:gridCol w:w="5070"/>
      </w:tblGrid>
      <w:tr w:rsidR="009132D2" w14:paraId="4B920961" w14:textId="77777777">
        <w:trPr>
          <w:jc w:val="right"/>
        </w:trPr>
        <w:tc>
          <w:tcPr>
            <w:tcW w:w="1455" w:type="dxa"/>
            <w:shd w:val="clear" w:color="auto" w:fill="auto"/>
            <w:tcMar>
              <w:top w:w="100" w:type="dxa"/>
              <w:left w:w="100" w:type="dxa"/>
              <w:bottom w:w="100" w:type="dxa"/>
              <w:right w:w="100" w:type="dxa"/>
            </w:tcMar>
          </w:tcPr>
          <w:p w14:paraId="75E3ABE8" w14:textId="77777777" w:rsidR="009132D2" w:rsidRDefault="00000000">
            <w:pPr>
              <w:spacing w:line="240" w:lineRule="auto"/>
              <w:ind w:left="141" w:firstLine="15"/>
              <w:jc w:val="both"/>
              <w:rPr>
                <w:rFonts w:ascii="Times New Roman" w:eastAsia="Times New Roman" w:hAnsi="Times New Roman" w:cs="Times New Roman"/>
                <w:i/>
                <w:u w:val="single"/>
              </w:rPr>
            </w:pPr>
            <w:r>
              <w:rPr>
                <w:rFonts w:ascii="Times New Roman" w:eastAsia="Times New Roman" w:hAnsi="Times New Roman" w:cs="Times New Roman"/>
                <w:i/>
                <w:u w:val="single"/>
              </w:rPr>
              <w:t>Приклади</w:t>
            </w:r>
            <w:r>
              <w:rPr>
                <w:rFonts w:ascii="Times New Roman" w:eastAsia="Times New Roman" w:hAnsi="Times New Roman" w:cs="Times New Roman"/>
                <w:i/>
              </w:rPr>
              <w:t>:</w:t>
            </w:r>
          </w:p>
        </w:tc>
        <w:tc>
          <w:tcPr>
            <w:tcW w:w="5070" w:type="dxa"/>
            <w:shd w:val="clear" w:color="auto" w:fill="auto"/>
            <w:tcMar>
              <w:top w:w="100" w:type="dxa"/>
              <w:left w:w="100" w:type="dxa"/>
              <w:bottom w:w="100" w:type="dxa"/>
              <w:right w:w="100" w:type="dxa"/>
            </w:tcMar>
          </w:tcPr>
          <w:p w14:paraId="3A46DCD1" w14:textId="77777777" w:rsidR="009132D2" w:rsidRDefault="00000000">
            <w:pPr>
              <w:spacing w:line="240" w:lineRule="auto"/>
              <w:ind w:left="141"/>
              <w:jc w:val="both"/>
              <w:rPr>
                <w:rFonts w:ascii="Times New Roman" w:eastAsia="Times New Roman" w:hAnsi="Times New Roman" w:cs="Times New Roman"/>
                <w:i/>
              </w:rPr>
            </w:pPr>
            <w:r>
              <w:rPr>
                <w:rFonts w:ascii="Times New Roman" w:eastAsia="Times New Roman" w:hAnsi="Times New Roman" w:cs="Times New Roman"/>
                <w:i/>
              </w:rPr>
              <w:t>Основи здорового способу життя</w:t>
            </w:r>
            <w:r>
              <w:rPr>
                <w:rFonts w:ascii="Times New Roman" w:eastAsia="Times New Roman" w:hAnsi="Times New Roman" w:cs="Times New Roman"/>
                <w:i/>
              </w:rPr>
              <w:br/>
              <w:t>Історія науки і техніки</w:t>
            </w:r>
            <w:r>
              <w:rPr>
                <w:rFonts w:ascii="Times New Roman" w:eastAsia="Times New Roman" w:hAnsi="Times New Roman" w:cs="Times New Roman"/>
                <w:i/>
              </w:rPr>
              <w:br/>
              <w:t>Операційні системи</w:t>
            </w:r>
            <w:r>
              <w:rPr>
                <w:rFonts w:ascii="Times New Roman" w:eastAsia="Times New Roman" w:hAnsi="Times New Roman" w:cs="Times New Roman"/>
                <w:i/>
              </w:rPr>
              <w:br/>
              <w:t xml:space="preserve">Інтелектуальна власність та патентознавство </w:t>
            </w:r>
          </w:p>
        </w:tc>
      </w:tr>
    </w:tbl>
    <w:p w14:paraId="3C7EA4B5" w14:textId="77777777" w:rsidR="009132D2" w:rsidRDefault="00000000">
      <w:pPr>
        <w:spacing w:before="240" w:after="240"/>
        <w:ind w:left="56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Написання назв освітніх компонентів, що є частинами навчальної дисципліни </w:t>
      </w:r>
      <w:r>
        <w:rPr>
          <w:rFonts w:ascii="Times New Roman" w:eastAsia="Times New Roman" w:hAnsi="Times New Roman" w:cs="Times New Roman"/>
          <w:i/>
          <w:sz w:val="24"/>
          <w:szCs w:val="24"/>
        </w:rPr>
        <w:br/>
        <w:t>з ДВОМА і БІЛЬШЕ семестровими контролями</w:t>
      </w:r>
    </w:p>
    <w:tbl>
      <w:tblPr>
        <w:tblStyle w:val="a9"/>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65"/>
        <w:gridCol w:w="1230"/>
        <w:gridCol w:w="1500"/>
        <w:gridCol w:w="1380"/>
        <w:gridCol w:w="2070"/>
      </w:tblGrid>
      <w:tr w:rsidR="009132D2" w14:paraId="1C7FEB40" w14:textId="77777777">
        <w:tc>
          <w:tcPr>
            <w:tcW w:w="3465"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61817EC1"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Назва навчальної дисципліни</w:t>
            </w:r>
          </w:p>
        </w:tc>
        <w:tc>
          <w:tcPr>
            <w:tcW w:w="123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3FE8AB7F"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Крапка</w:t>
            </w:r>
          </w:p>
        </w:tc>
        <w:tc>
          <w:tcPr>
            <w:tcW w:w="150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5C080ADD"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Частина 1</w:t>
            </w:r>
          </w:p>
        </w:tc>
        <w:tc>
          <w:tcPr>
            <w:tcW w:w="138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3B95B76C"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Крапка</w:t>
            </w:r>
          </w:p>
        </w:tc>
        <w:tc>
          <w:tcPr>
            <w:tcW w:w="207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79AA7CBA"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Назва частини</w:t>
            </w:r>
          </w:p>
        </w:tc>
      </w:tr>
      <w:tr w:rsidR="009132D2" w14:paraId="52C74DE8" w14:textId="77777777">
        <w:tc>
          <w:tcPr>
            <w:tcW w:w="346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270BD81"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Назва навчальної дисципліни</w:t>
            </w:r>
          </w:p>
        </w:tc>
        <w:tc>
          <w:tcPr>
            <w:tcW w:w="1230" w:type="dxa"/>
            <w:tcBorders>
              <w:top w:val="nil"/>
              <w:left w:val="nil"/>
              <w:bottom w:val="single" w:sz="12" w:space="0" w:color="000000"/>
              <w:right w:val="single" w:sz="12" w:space="0" w:color="000000"/>
            </w:tcBorders>
            <w:tcMar>
              <w:top w:w="0" w:type="dxa"/>
              <w:left w:w="100" w:type="dxa"/>
              <w:bottom w:w="0" w:type="dxa"/>
              <w:right w:w="100" w:type="dxa"/>
            </w:tcMar>
          </w:tcPr>
          <w:p w14:paraId="6A22F419"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Крапка</w:t>
            </w:r>
          </w:p>
        </w:tc>
        <w:tc>
          <w:tcPr>
            <w:tcW w:w="1500" w:type="dxa"/>
            <w:tcBorders>
              <w:top w:val="nil"/>
              <w:left w:val="nil"/>
              <w:bottom w:val="single" w:sz="12" w:space="0" w:color="000000"/>
              <w:right w:val="single" w:sz="12" w:space="0" w:color="000000"/>
            </w:tcBorders>
            <w:tcMar>
              <w:top w:w="0" w:type="dxa"/>
              <w:left w:w="100" w:type="dxa"/>
              <w:bottom w:w="0" w:type="dxa"/>
              <w:right w:w="100" w:type="dxa"/>
            </w:tcMar>
          </w:tcPr>
          <w:p w14:paraId="59FB5532"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Частина 2</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1A005182"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Крапка</w:t>
            </w:r>
          </w:p>
        </w:tc>
        <w:tc>
          <w:tcPr>
            <w:tcW w:w="2070" w:type="dxa"/>
            <w:tcBorders>
              <w:top w:val="nil"/>
              <w:left w:val="nil"/>
              <w:bottom w:val="single" w:sz="12" w:space="0" w:color="000000"/>
              <w:right w:val="single" w:sz="12" w:space="0" w:color="000000"/>
            </w:tcBorders>
            <w:tcMar>
              <w:top w:w="0" w:type="dxa"/>
              <w:left w:w="100" w:type="dxa"/>
              <w:bottom w:w="0" w:type="dxa"/>
              <w:right w:w="100" w:type="dxa"/>
            </w:tcMar>
          </w:tcPr>
          <w:p w14:paraId="1943A2C0"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Назва частини</w:t>
            </w:r>
          </w:p>
        </w:tc>
      </w:tr>
      <w:tr w:rsidR="009132D2" w14:paraId="0749FDF2" w14:textId="77777777">
        <w:tc>
          <w:tcPr>
            <w:tcW w:w="346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30492ED"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Назва навчальної дисципліни</w:t>
            </w:r>
          </w:p>
        </w:tc>
        <w:tc>
          <w:tcPr>
            <w:tcW w:w="1230" w:type="dxa"/>
            <w:tcBorders>
              <w:top w:val="nil"/>
              <w:left w:val="nil"/>
              <w:bottom w:val="single" w:sz="12" w:space="0" w:color="000000"/>
              <w:right w:val="single" w:sz="12" w:space="0" w:color="000000"/>
            </w:tcBorders>
            <w:tcMar>
              <w:top w:w="0" w:type="dxa"/>
              <w:left w:w="100" w:type="dxa"/>
              <w:bottom w:w="0" w:type="dxa"/>
              <w:right w:w="100" w:type="dxa"/>
            </w:tcMar>
          </w:tcPr>
          <w:p w14:paraId="2185592E"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Крапка</w:t>
            </w:r>
          </w:p>
        </w:tc>
        <w:tc>
          <w:tcPr>
            <w:tcW w:w="1500" w:type="dxa"/>
            <w:tcBorders>
              <w:top w:val="nil"/>
              <w:left w:val="nil"/>
              <w:bottom w:val="single" w:sz="12" w:space="0" w:color="000000"/>
              <w:right w:val="single" w:sz="12" w:space="0" w:color="000000"/>
            </w:tcBorders>
            <w:tcMar>
              <w:top w:w="0" w:type="dxa"/>
              <w:left w:w="100" w:type="dxa"/>
              <w:bottom w:w="0" w:type="dxa"/>
              <w:right w:w="100" w:type="dxa"/>
            </w:tcMar>
          </w:tcPr>
          <w:p w14:paraId="13BAED57"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Частина 3</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052FDBDB"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Крапка</w:t>
            </w:r>
          </w:p>
        </w:tc>
        <w:tc>
          <w:tcPr>
            <w:tcW w:w="2070" w:type="dxa"/>
            <w:tcBorders>
              <w:top w:val="nil"/>
              <w:left w:val="nil"/>
              <w:bottom w:val="single" w:sz="12" w:space="0" w:color="000000"/>
              <w:right w:val="single" w:sz="12" w:space="0" w:color="000000"/>
            </w:tcBorders>
            <w:tcMar>
              <w:top w:w="0" w:type="dxa"/>
              <w:left w:w="100" w:type="dxa"/>
              <w:bottom w:w="0" w:type="dxa"/>
              <w:right w:w="100" w:type="dxa"/>
            </w:tcMar>
          </w:tcPr>
          <w:p w14:paraId="18120B58"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Назва частини</w:t>
            </w:r>
          </w:p>
        </w:tc>
      </w:tr>
      <w:tr w:rsidR="009132D2" w14:paraId="0596CC32" w14:textId="77777777">
        <w:tc>
          <w:tcPr>
            <w:tcW w:w="346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C9FF1A0"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Назва навчальної дисципліни</w:t>
            </w:r>
          </w:p>
        </w:tc>
        <w:tc>
          <w:tcPr>
            <w:tcW w:w="1230" w:type="dxa"/>
            <w:tcBorders>
              <w:top w:val="nil"/>
              <w:left w:val="nil"/>
              <w:bottom w:val="single" w:sz="12" w:space="0" w:color="000000"/>
              <w:right w:val="single" w:sz="12" w:space="0" w:color="000000"/>
            </w:tcBorders>
            <w:tcMar>
              <w:top w:w="0" w:type="dxa"/>
              <w:left w:w="100" w:type="dxa"/>
              <w:bottom w:w="0" w:type="dxa"/>
              <w:right w:w="100" w:type="dxa"/>
            </w:tcMar>
          </w:tcPr>
          <w:p w14:paraId="5F055041"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Крапка</w:t>
            </w:r>
          </w:p>
        </w:tc>
        <w:tc>
          <w:tcPr>
            <w:tcW w:w="4950" w:type="dxa"/>
            <w:gridSpan w:val="3"/>
            <w:tcBorders>
              <w:top w:val="nil"/>
              <w:left w:val="nil"/>
              <w:bottom w:val="single" w:sz="12" w:space="0" w:color="000000"/>
              <w:right w:val="single" w:sz="12" w:space="0" w:color="000000"/>
            </w:tcBorders>
            <w:tcMar>
              <w:top w:w="0" w:type="dxa"/>
              <w:left w:w="100" w:type="dxa"/>
              <w:bottom w:w="0" w:type="dxa"/>
              <w:right w:w="100" w:type="dxa"/>
            </w:tcMar>
          </w:tcPr>
          <w:p w14:paraId="69E4B23D" w14:textId="77777777" w:rsidR="009132D2" w:rsidRDefault="00000000">
            <w:pPr>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Курсова робота/</w:t>
            </w:r>
            <w:proofErr w:type="spellStart"/>
            <w:r>
              <w:rPr>
                <w:rFonts w:ascii="Times New Roman" w:eastAsia="Times New Roman" w:hAnsi="Times New Roman" w:cs="Times New Roman"/>
                <w:b/>
              </w:rPr>
              <w:t>проєкт</w:t>
            </w:r>
            <w:proofErr w:type="spellEnd"/>
          </w:p>
        </w:tc>
      </w:tr>
    </w:tbl>
    <w:p w14:paraId="05243B36" w14:textId="77777777" w:rsidR="009132D2" w:rsidRDefault="009132D2">
      <w:pPr>
        <w:spacing w:line="240" w:lineRule="auto"/>
        <w:ind w:left="560" w:firstLine="280"/>
        <w:jc w:val="both"/>
        <w:rPr>
          <w:rFonts w:ascii="Times New Roman" w:eastAsia="Times New Roman" w:hAnsi="Times New Roman" w:cs="Times New Roman"/>
          <w:i/>
          <w:sz w:val="6"/>
          <w:szCs w:val="6"/>
          <w:u w:val="single"/>
        </w:rPr>
      </w:pPr>
    </w:p>
    <w:tbl>
      <w:tblPr>
        <w:tblStyle w:val="aa"/>
        <w:tblW w:w="9630" w:type="dxa"/>
        <w:jc w:val="right"/>
        <w:tblInd w:w="0" w:type="dxa"/>
        <w:tblLayout w:type="fixed"/>
        <w:tblLook w:val="0600" w:firstRow="0" w:lastRow="0" w:firstColumn="0" w:lastColumn="0" w:noHBand="1" w:noVBand="1"/>
      </w:tblPr>
      <w:tblGrid>
        <w:gridCol w:w="1395"/>
        <w:gridCol w:w="8235"/>
      </w:tblGrid>
      <w:tr w:rsidR="009132D2" w14:paraId="414E95A7" w14:textId="77777777">
        <w:trPr>
          <w:jc w:val="right"/>
        </w:trPr>
        <w:tc>
          <w:tcPr>
            <w:tcW w:w="1395" w:type="dxa"/>
            <w:shd w:val="clear" w:color="auto" w:fill="auto"/>
            <w:tcMar>
              <w:top w:w="100" w:type="dxa"/>
              <w:left w:w="100" w:type="dxa"/>
              <w:bottom w:w="100" w:type="dxa"/>
              <w:right w:w="100" w:type="dxa"/>
            </w:tcMar>
          </w:tcPr>
          <w:p w14:paraId="5A003E10" w14:textId="77777777" w:rsidR="009132D2" w:rsidRDefault="00000000">
            <w:pPr>
              <w:spacing w:line="240" w:lineRule="auto"/>
              <w:ind w:left="141" w:firstLine="15"/>
              <w:jc w:val="both"/>
              <w:rPr>
                <w:rFonts w:ascii="Times New Roman" w:eastAsia="Times New Roman" w:hAnsi="Times New Roman" w:cs="Times New Roman"/>
                <w:i/>
                <w:u w:val="single"/>
              </w:rPr>
            </w:pPr>
            <w:r>
              <w:rPr>
                <w:rFonts w:ascii="Times New Roman" w:eastAsia="Times New Roman" w:hAnsi="Times New Roman" w:cs="Times New Roman"/>
                <w:i/>
                <w:u w:val="single"/>
              </w:rPr>
              <w:t>Приклади</w:t>
            </w:r>
            <w:r>
              <w:rPr>
                <w:rFonts w:ascii="Times New Roman" w:eastAsia="Times New Roman" w:hAnsi="Times New Roman" w:cs="Times New Roman"/>
                <w:i/>
              </w:rPr>
              <w:t>:</w:t>
            </w:r>
          </w:p>
        </w:tc>
        <w:tc>
          <w:tcPr>
            <w:tcW w:w="8235" w:type="dxa"/>
            <w:shd w:val="clear" w:color="auto" w:fill="auto"/>
            <w:tcMar>
              <w:top w:w="100" w:type="dxa"/>
              <w:left w:w="100" w:type="dxa"/>
              <w:bottom w:w="100" w:type="dxa"/>
              <w:right w:w="100" w:type="dxa"/>
            </w:tcMar>
          </w:tcPr>
          <w:p w14:paraId="5659D589" w14:textId="77777777" w:rsidR="009132D2" w:rsidRDefault="00000000">
            <w:pPr>
              <w:spacing w:line="240" w:lineRule="auto"/>
              <w:ind w:left="141"/>
              <w:jc w:val="both"/>
              <w:rPr>
                <w:rFonts w:ascii="Times New Roman" w:eastAsia="Times New Roman" w:hAnsi="Times New Roman" w:cs="Times New Roman"/>
                <w:i/>
              </w:rPr>
            </w:pPr>
            <w:r>
              <w:rPr>
                <w:rFonts w:ascii="Times New Roman" w:eastAsia="Times New Roman" w:hAnsi="Times New Roman" w:cs="Times New Roman"/>
                <w:i/>
              </w:rPr>
              <w:t>Фізика. Частина 1. Теоретична механіка</w:t>
            </w:r>
          </w:p>
          <w:p w14:paraId="4F61CDEC" w14:textId="77777777" w:rsidR="009132D2" w:rsidRDefault="00000000">
            <w:pPr>
              <w:spacing w:line="240" w:lineRule="auto"/>
              <w:ind w:left="141"/>
              <w:jc w:val="both"/>
              <w:rPr>
                <w:rFonts w:ascii="Times New Roman" w:eastAsia="Times New Roman" w:hAnsi="Times New Roman" w:cs="Times New Roman"/>
                <w:i/>
              </w:rPr>
            </w:pPr>
            <w:r>
              <w:rPr>
                <w:rFonts w:ascii="Times New Roman" w:eastAsia="Times New Roman" w:hAnsi="Times New Roman" w:cs="Times New Roman"/>
                <w:i/>
              </w:rPr>
              <w:t>Фізика. Частина 2. Квантова фізика</w:t>
            </w:r>
          </w:p>
          <w:p w14:paraId="7625B8D0" w14:textId="77777777" w:rsidR="009132D2" w:rsidRDefault="00000000">
            <w:pPr>
              <w:spacing w:line="240" w:lineRule="auto"/>
              <w:ind w:left="141"/>
              <w:jc w:val="both"/>
              <w:rPr>
                <w:rFonts w:ascii="Times New Roman" w:eastAsia="Times New Roman" w:hAnsi="Times New Roman" w:cs="Times New Roman"/>
                <w:i/>
              </w:rPr>
            </w:pPr>
            <w:r>
              <w:rPr>
                <w:rFonts w:ascii="Times New Roman" w:eastAsia="Times New Roman" w:hAnsi="Times New Roman" w:cs="Times New Roman"/>
                <w:i/>
              </w:rPr>
              <w:t>Програмування. Частина 1. Основи програмування</w:t>
            </w:r>
          </w:p>
          <w:p w14:paraId="202FFADA" w14:textId="77777777" w:rsidR="009132D2" w:rsidRDefault="00000000">
            <w:pPr>
              <w:spacing w:line="240" w:lineRule="auto"/>
              <w:ind w:left="141"/>
              <w:jc w:val="both"/>
              <w:rPr>
                <w:rFonts w:ascii="Times New Roman" w:eastAsia="Times New Roman" w:hAnsi="Times New Roman" w:cs="Times New Roman"/>
                <w:i/>
              </w:rPr>
            </w:pPr>
            <w:r>
              <w:rPr>
                <w:rFonts w:ascii="Times New Roman" w:eastAsia="Times New Roman" w:hAnsi="Times New Roman" w:cs="Times New Roman"/>
                <w:i/>
              </w:rPr>
              <w:t>Програмування. Частина 2. Структури даних та алгоритми</w:t>
            </w:r>
          </w:p>
          <w:p w14:paraId="6BB73743" w14:textId="77777777" w:rsidR="009132D2" w:rsidRDefault="00000000">
            <w:pPr>
              <w:spacing w:line="240" w:lineRule="auto"/>
              <w:ind w:left="141"/>
              <w:jc w:val="both"/>
              <w:rPr>
                <w:rFonts w:ascii="Times New Roman" w:eastAsia="Times New Roman" w:hAnsi="Times New Roman" w:cs="Times New Roman"/>
                <w:i/>
              </w:rPr>
            </w:pPr>
            <w:r>
              <w:rPr>
                <w:rFonts w:ascii="Times New Roman" w:eastAsia="Times New Roman" w:hAnsi="Times New Roman" w:cs="Times New Roman"/>
                <w:i/>
              </w:rPr>
              <w:t>Вища математика. Частина 1. Лінійна алгебра</w:t>
            </w:r>
          </w:p>
          <w:p w14:paraId="6ECFFCC6" w14:textId="77777777" w:rsidR="009132D2" w:rsidRDefault="00000000">
            <w:pPr>
              <w:spacing w:line="240" w:lineRule="auto"/>
              <w:ind w:left="141"/>
              <w:jc w:val="both"/>
              <w:rPr>
                <w:rFonts w:ascii="Times New Roman" w:eastAsia="Times New Roman" w:hAnsi="Times New Roman" w:cs="Times New Roman"/>
                <w:i/>
              </w:rPr>
            </w:pPr>
            <w:r>
              <w:rPr>
                <w:rFonts w:ascii="Times New Roman" w:eastAsia="Times New Roman" w:hAnsi="Times New Roman" w:cs="Times New Roman"/>
                <w:i/>
              </w:rPr>
              <w:t>Вища математика. Частина 2. Диференціальне та інтегральне числення</w:t>
            </w:r>
          </w:p>
          <w:p w14:paraId="3C212673" w14:textId="77777777" w:rsidR="009132D2" w:rsidRDefault="00000000">
            <w:pPr>
              <w:spacing w:line="240" w:lineRule="auto"/>
              <w:ind w:left="141"/>
              <w:jc w:val="both"/>
              <w:rPr>
                <w:rFonts w:ascii="Times New Roman" w:eastAsia="Times New Roman" w:hAnsi="Times New Roman" w:cs="Times New Roman"/>
                <w:i/>
              </w:rPr>
            </w:pPr>
            <w:r>
              <w:rPr>
                <w:rFonts w:ascii="Times New Roman" w:eastAsia="Times New Roman" w:hAnsi="Times New Roman" w:cs="Times New Roman"/>
                <w:i/>
              </w:rPr>
              <w:t>Вища математика. Частина 3. Операційне числення</w:t>
            </w:r>
          </w:p>
          <w:p w14:paraId="5ECCE09E" w14:textId="77777777" w:rsidR="009132D2" w:rsidRDefault="00000000">
            <w:pPr>
              <w:spacing w:line="240" w:lineRule="auto"/>
              <w:ind w:left="141"/>
              <w:jc w:val="both"/>
              <w:rPr>
                <w:rFonts w:ascii="Times New Roman" w:eastAsia="Times New Roman" w:hAnsi="Times New Roman" w:cs="Times New Roman"/>
                <w:i/>
              </w:rPr>
            </w:pPr>
            <w:r>
              <w:rPr>
                <w:rFonts w:ascii="Times New Roman" w:eastAsia="Times New Roman" w:hAnsi="Times New Roman" w:cs="Times New Roman"/>
                <w:i/>
              </w:rPr>
              <w:t>Електроніка та мікропроцесорна техніка. Частина 1. Комп'ютерна електроніка</w:t>
            </w:r>
          </w:p>
          <w:p w14:paraId="74D1FB3E" w14:textId="77777777" w:rsidR="009132D2" w:rsidRDefault="00000000">
            <w:pPr>
              <w:spacing w:line="240" w:lineRule="auto"/>
              <w:ind w:left="141"/>
              <w:jc w:val="both"/>
              <w:rPr>
                <w:rFonts w:ascii="Times New Roman" w:eastAsia="Times New Roman" w:hAnsi="Times New Roman" w:cs="Times New Roman"/>
                <w:i/>
              </w:rPr>
            </w:pPr>
            <w:r>
              <w:rPr>
                <w:rFonts w:ascii="Times New Roman" w:eastAsia="Times New Roman" w:hAnsi="Times New Roman" w:cs="Times New Roman"/>
                <w:i/>
              </w:rPr>
              <w:t>Електроніка та мікропроцесорна техніка. Частина 2. Мікропроцесорна техніка</w:t>
            </w:r>
          </w:p>
          <w:p w14:paraId="36A05E4E" w14:textId="77777777" w:rsidR="009132D2" w:rsidRDefault="00000000">
            <w:pPr>
              <w:spacing w:line="240" w:lineRule="auto"/>
              <w:ind w:left="141"/>
              <w:jc w:val="both"/>
              <w:rPr>
                <w:rFonts w:ascii="Times New Roman" w:eastAsia="Times New Roman" w:hAnsi="Times New Roman" w:cs="Times New Roman"/>
                <w:i/>
              </w:rPr>
            </w:pPr>
            <w:r>
              <w:rPr>
                <w:rFonts w:ascii="Times New Roman" w:eastAsia="Times New Roman" w:hAnsi="Times New Roman" w:cs="Times New Roman"/>
                <w:i/>
              </w:rPr>
              <w:t>Електроніка та мікропроцесорна техніка. Курсова робота</w:t>
            </w:r>
          </w:p>
        </w:tc>
      </w:tr>
    </w:tbl>
    <w:p w14:paraId="7ECFEDCC" w14:textId="77777777" w:rsidR="009132D2" w:rsidRDefault="00000000">
      <w:pPr>
        <w:spacing w:before="240" w:after="160" w:line="252" w:lineRule="auto"/>
        <w:ind w:firstLine="420"/>
        <w:jc w:val="both"/>
        <w:rPr>
          <w:rFonts w:ascii="Times New Roman" w:eastAsia="Times New Roman" w:hAnsi="Times New Roman" w:cs="Times New Roman"/>
          <w:i/>
          <w:color w:val="073763"/>
          <w:sz w:val="24"/>
          <w:szCs w:val="24"/>
        </w:rPr>
      </w:pPr>
      <w:r>
        <w:rPr>
          <w:rFonts w:ascii="Times New Roman" w:eastAsia="Times New Roman" w:hAnsi="Times New Roman" w:cs="Times New Roman"/>
          <w:i/>
          <w:color w:val="073763"/>
          <w:sz w:val="24"/>
          <w:szCs w:val="24"/>
        </w:rPr>
        <w:t>Написання назви освітнього компонента, що є МІЖДИСЦИПЛІНАРНОЮ курсовою роботою / проєктом погоджується розробниками освітніх програм з навчально-методичним відділом університету.</w:t>
      </w:r>
    </w:p>
    <w:p w14:paraId="09E2ABEA" w14:textId="77777777" w:rsidR="009132D2" w:rsidRDefault="009132D2">
      <w:pPr>
        <w:ind w:firstLine="566"/>
        <w:jc w:val="both"/>
        <w:rPr>
          <w:rFonts w:ascii="Times New Roman" w:eastAsia="Times New Roman" w:hAnsi="Times New Roman" w:cs="Times New Roman"/>
          <w:sz w:val="24"/>
          <w:szCs w:val="24"/>
        </w:rPr>
      </w:pPr>
    </w:p>
    <w:p w14:paraId="57E9ECC6" w14:textId="77777777" w:rsidR="009132D2" w:rsidRDefault="00000000">
      <w:pPr>
        <w:pBdr>
          <w:top w:val="nil"/>
          <w:left w:val="nil"/>
          <w:bottom w:val="nil"/>
          <w:right w:val="nil"/>
          <w:between w:val="nil"/>
        </w:pBdr>
        <w:jc w:val="center"/>
        <w:rPr>
          <w:rFonts w:ascii="Times New Roman" w:eastAsia="Times New Roman" w:hAnsi="Times New Roman" w:cs="Times New Roman"/>
          <w:b/>
          <w:i/>
          <w:color w:val="0B5394"/>
          <w:sz w:val="26"/>
          <w:szCs w:val="26"/>
        </w:rPr>
      </w:pPr>
      <w:r>
        <w:br w:type="page"/>
      </w:r>
    </w:p>
    <w:p w14:paraId="442D4DAF" w14:textId="77777777" w:rsidR="009132D2" w:rsidRDefault="00000000">
      <w:pPr>
        <w:pBdr>
          <w:top w:val="nil"/>
          <w:left w:val="nil"/>
          <w:bottom w:val="nil"/>
          <w:right w:val="nil"/>
          <w:between w:val="nil"/>
        </w:pBdr>
        <w:jc w:val="center"/>
        <w:rPr>
          <w:rFonts w:ascii="Times New Roman" w:eastAsia="Times New Roman" w:hAnsi="Times New Roman" w:cs="Times New Roman"/>
          <w:b/>
          <w:i/>
          <w:color w:val="0B5394"/>
          <w:sz w:val="26"/>
          <w:szCs w:val="26"/>
        </w:rPr>
      </w:pPr>
      <w:r>
        <w:rPr>
          <w:rFonts w:ascii="Times New Roman" w:eastAsia="Times New Roman" w:hAnsi="Times New Roman" w:cs="Times New Roman"/>
          <w:b/>
          <w:i/>
          <w:color w:val="0B5394"/>
          <w:sz w:val="26"/>
          <w:szCs w:val="26"/>
        </w:rPr>
        <w:lastRenderedPageBreak/>
        <w:t>Вимоги до структури та змісту навчального плану</w:t>
      </w:r>
    </w:p>
    <w:p w14:paraId="1909FFAE" w14:textId="77777777" w:rsidR="009132D2"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Навчальний план є нормативним документом університету, який складаються на основі відповідної освітньої програми, окремо для кожної форми здобуття вищої освіти на весь термін навчання, зокрема з метою деталізації графіку навчального процесу, розподілу навчальних годин за видами занять, визначення форм проведення практик та атестації. Підґрунтям для створення навчального плану є структурно-логічна схема освітньої програми. </w:t>
      </w:r>
    </w:p>
    <w:p w14:paraId="2FA2662B" w14:textId="77777777" w:rsidR="009132D2"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Навчальні плани розробляються робочими групами випускових кафедр із залученням, за потреби, представників інших кафедр. Координацію діяльності робочої групи здійснює гарант відповідної освітньої програми, а контроль виконання вимог до навчальних планів здійснює заступник декана/директора з навчально-методичної роботи.</w:t>
      </w:r>
    </w:p>
    <w:p w14:paraId="04363CB1" w14:textId="77777777" w:rsidR="009132D2"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Навчальні плани підготовки здобувачів вищої освіти мають бути розроблені відповідно до вимог граничних обсягів навантаження як здобувачів освіти, так і педагогічних, науково-педагогічних працівників. Максимальний тижневий бюджет часу здобувача освіти денної форми навчання становить 54 години. Тижневий бюджет часу на виконання індивідуального навчального плану здобувача вищої освіти, як правило, становить 45-54 академічних годин (1,8 кредитів ЄКТС).</w:t>
      </w:r>
    </w:p>
    <w:p w14:paraId="2FC30734" w14:textId="77777777" w:rsidR="009132D2"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навчальних планах за денною формою здобуття освіти на аудиторні заняття з навчальної дисципліни виділяється, як правило, 50% від загального обсягу навчального часу. </w:t>
      </w:r>
    </w:p>
    <w:p w14:paraId="67F81281" w14:textId="77777777" w:rsidR="009132D2"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структурними елементами навчального плану є:</w:t>
      </w:r>
    </w:p>
    <w:p w14:paraId="32EADD0B" w14:textId="77777777" w:rsidR="009132D2" w:rsidRDefault="00000000">
      <w:pPr>
        <w:pBdr>
          <w:top w:val="nil"/>
          <w:left w:val="nil"/>
          <w:bottom w:val="nil"/>
          <w:right w:val="nil"/>
          <w:between w:val="nil"/>
        </w:pBdr>
        <w:ind w:left="134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загальні реквізити;</w:t>
      </w:r>
    </w:p>
    <w:p w14:paraId="772EC456" w14:textId="77777777" w:rsidR="009132D2" w:rsidRDefault="00000000">
      <w:pPr>
        <w:pBdr>
          <w:top w:val="nil"/>
          <w:left w:val="nil"/>
          <w:bottom w:val="nil"/>
          <w:right w:val="nil"/>
          <w:between w:val="nil"/>
        </w:pBdr>
        <w:ind w:left="134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графік навчального процесу;</w:t>
      </w:r>
    </w:p>
    <w:p w14:paraId="582F132C" w14:textId="77777777" w:rsidR="009132D2" w:rsidRDefault="00000000">
      <w:pPr>
        <w:pBdr>
          <w:top w:val="nil"/>
          <w:left w:val="nil"/>
          <w:bottom w:val="nil"/>
          <w:right w:val="nil"/>
          <w:between w:val="nil"/>
        </w:pBdr>
        <w:ind w:left="134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зведені дані про бюджет часу, практики, атестації;</w:t>
      </w:r>
    </w:p>
    <w:p w14:paraId="20FF699C" w14:textId="77777777" w:rsidR="009132D2" w:rsidRDefault="00000000">
      <w:pPr>
        <w:pBdr>
          <w:top w:val="nil"/>
          <w:left w:val="nil"/>
          <w:bottom w:val="nil"/>
          <w:right w:val="nil"/>
          <w:between w:val="nil"/>
        </w:pBdr>
        <w:ind w:left="134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план освітнього процесу.</w:t>
      </w:r>
    </w:p>
    <w:p w14:paraId="01834B5C" w14:textId="77777777" w:rsidR="009132D2"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графіку навчального процесу обов’язково зазначаються роки (курси) навчання за відповідною освітньою програмою, на кожний з яких зазначається (відповідними позначками) обсяг і терміни: теоретичного навчання, </w:t>
      </w:r>
      <w:proofErr w:type="spellStart"/>
      <w:r>
        <w:rPr>
          <w:rFonts w:ascii="Times New Roman" w:eastAsia="Times New Roman" w:hAnsi="Times New Roman" w:cs="Times New Roman"/>
          <w:sz w:val="24"/>
          <w:szCs w:val="24"/>
        </w:rPr>
        <w:t>заліково</w:t>
      </w:r>
      <w:proofErr w:type="spellEnd"/>
      <w:r>
        <w:rPr>
          <w:rFonts w:ascii="Times New Roman" w:eastAsia="Times New Roman" w:hAnsi="Times New Roman" w:cs="Times New Roman"/>
          <w:sz w:val="24"/>
          <w:szCs w:val="24"/>
        </w:rPr>
        <w:t xml:space="preserve">-екзаменаційних сесій, канікул, практик, виконання кваліфікаційної роботи, атестації тощо. </w:t>
      </w:r>
    </w:p>
    <w:p w14:paraId="24EEB90D" w14:textId="77777777" w:rsidR="009132D2"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навчальних планах визначається необхідна інформація з практик (види, семестр проведення і тривалість у тижнях) та атестації здобувачів вищої освіти (види, форма і семестр проведення).</w:t>
      </w:r>
    </w:p>
    <w:p w14:paraId="753DFD24" w14:textId="77777777" w:rsidR="009132D2"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освітнього процесу має включати відомості про:</w:t>
      </w:r>
    </w:p>
    <w:p w14:paraId="6625361D"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нормативну складову ОП;</w:t>
      </w:r>
    </w:p>
    <w:p w14:paraId="3C99EBA6"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вибіркову складову ОП;</w:t>
      </w:r>
    </w:p>
    <w:p w14:paraId="77F21578"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шифри та назви освітніх компонентів відповідно до ОП;</w:t>
      </w:r>
    </w:p>
    <w:p w14:paraId="1D2E9874"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види контрольних заходів та їх розподіл за семестрами;</w:t>
      </w:r>
    </w:p>
    <w:p w14:paraId="1F9B575C"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кількість кредитів ЄКТС та годин з кожного освітнього компонента ;</w:t>
      </w:r>
    </w:p>
    <w:p w14:paraId="25732743"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розподіл загального обсягу годин на аудиторні (лекції, практичні/семінарські заняття/комп’ютерні практикуми, лабораторні роботи) та самостійну роботу здобувачів вищої освіти;</w:t>
      </w:r>
    </w:p>
    <w:p w14:paraId="4DB5E9B7"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розподіл щотижневих аудиторних годин з навчальної дисципліни за семестрами;</w:t>
      </w:r>
    </w:p>
    <w:p w14:paraId="56D3EA0B"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загальну кількість годин тижневого аудиторного навантаження;</w:t>
      </w:r>
    </w:p>
    <w:p w14:paraId="1AC69CA9"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кількість екзаменів;</w:t>
      </w:r>
    </w:p>
    <w:p w14:paraId="5074D21D"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кількість заліків, у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курсових проєктів (робіт);</w:t>
      </w:r>
    </w:p>
    <w:p w14:paraId="2CAD90C2"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кількість МКР;</w:t>
      </w:r>
    </w:p>
    <w:p w14:paraId="19971D5F" w14:textId="77777777" w:rsidR="009132D2" w:rsidRDefault="00000000">
      <w:pPr>
        <w:ind w:left="566"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кількість індивідуальних семестрових завдань.</w:t>
      </w:r>
    </w:p>
    <w:p w14:paraId="554E9682" w14:textId="77777777" w:rsidR="009132D2" w:rsidRDefault="00000000">
      <w:pPr>
        <w:keepNext/>
        <w:ind w:firstLine="566"/>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Загальна форма навчального плану:</w:t>
      </w:r>
    </w:p>
    <w:p w14:paraId="42F0E0A1" w14:textId="77777777" w:rsidR="009132D2"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inline distT="114300" distB="114300" distL="114300" distR="114300" wp14:anchorId="00CF26E8" wp14:editId="2614405D">
            <wp:extent cx="6432996" cy="745506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432996" cy="7455061"/>
                    </a:xfrm>
                    <a:prstGeom prst="rect">
                      <a:avLst/>
                    </a:prstGeom>
                    <a:ln/>
                  </pic:spPr>
                </pic:pic>
              </a:graphicData>
            </a:graphic>
          </wp:inline>
        </w:drawing>
      </w:r>
    </w:p>
    <w:p w14:paraId="2DE64D71" w14:textId="77777777" w:rsidR="009132D2" w:rsidRDefault="009132D2">
      <w:pPr>
        <w:ind w:firstLine="566"/>
        <w:jc w:val="both"/>
        <w:rPr>
          <w:rFonts w:ascii="Times New Roman" w:eastAsia="Times New Roman" w:hAnsi="Times New Roman" w:cs="Times New Roman"/>
          <w:sz w:val="24"/>
          <w:szCs w:val="24"/>
        </w:rPr>
      </w:pPr>
    </w:p>
    <w:p w14:paraId="7735B06E" w14:textId="77777777" w:rsidR="009132D2" w:rsidRDefault="00000000">
      <w:pPr>
        <w:pBdr>
          <w:top w:val="nil"/>
          <w:left w:val="nil"/>
          <w:bottom w:val="nil"/>
          <w:right w:val="nil"/>
          <w:between w:val="nil"/>
        </w:pBdr>
        <w:spacing w:before="240" w:after="160" w:line="252" w:lineRule="auto"/>
        <w:ind w:firstLine="420"/>
        <w:jc w:val="both"/>
        <w:rPr>
          <w:rFonts w:ascii="Times New Roman" w:eastAsia="Times New Roman" w:hAnsi="Times New Roman" w:cs="Times New Roman"/>
          <w:i/>
          <w:color w:val="073763"/>
          <w:sz w:val="24"/>
          <w:szCs w:val="24"/>
        </w:rPr>
      </w:pPr>
      <w:r>
        <w:rPr>
          <w:rFonts w:ascii="Times New Roman" w:eastAsia="Times New Roman" w:hAnsi="Times New Roman" w:cs="Times New Roman"/>
          <w:i/>
          <w:color w:val="073763"/>
          <w:sz w:val="24"/>
          <w:szCs w:val="24"/>
        </w:rPr>
        <w:t>Під час внесення даних в АС «</w:t>
      </w:r>
      <w:proofErr w:type="spellStart"/>
      <w:r>
        <w:rPr>
          <w:rFonts w:ascii="Times New Roman" w:eastAsia="Times New Roman" w:hAnsi="Times New Roman" w:cs="Times New Roman"/>
          <w:i/>
          <w:color w:val="073763"/>
          <w:sz w:val="24"/>
          <w:szCs w:val="24"/>
        </w:rPr>
        <w:t>myKPI</w:t>
      </w:r>
      <w:proofErr w:type="spellEnd"/>
      <w:r>
        <w:rPr>
          <w:rFonts w:ascii="Times New Roman" w:eastAsia="Times New Roman" w:hAnsi="Times New Roman" w:cs="Times New Roman"/>
          <w:i/>
          <w:color w:val="073763"/>
          <w:sz w:val="24"/>
          <w:szCs w:val="24"/>
        </w:rPr>
        <w:t>» для генерації НП необхідно враховувати вимоги щодо правил формування шифрів груп (наказ №НОД/976/24 від 25.12.2024 «Про затвердження номенклатури шифрування академічних груп»).</w:t>
      </w:r>
    </w:p>
    <w:p w14:paraId="61BE57A2" w14:textId="77777777" w:rsidR="009132D2" w:rsidRDefault="00000000">
      <w:pPr>
        <w:keepNex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Перелік ОК  може групуватися у певні розділи, наприклад:</w:t>
      </w:r>
    </w:p>
    <w:p w14:paraId="5E34BC70" w14:textId="77777777" w:rsidR="009132D2" w:rsidRDefault="00000000">
      <w:pPr>
        <w:numPr>
          <w:ilvl w:val="0"/>
          <w:numId w:val="3"/>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ОПП бакалаврів/магістрів ОК відносять до циклу загальної або професійної підготовки, а в ОНП магістрів додатково виділяють блок </w:t>
      </w:r>
      <w:r>
        <w:rPr>
          <w:rFonts w:ascii="Times New Roman" w:eastAsia="Times New Roman" w:hAnsi="Times New Roman" w:cs="Times New Roman"/>
          <w:i/>
          <w:sz w:val="26"/>
          <w:szCs w:val="26"/>
        </w:rPr>
        <w:t>Дослідницький (науковий) компонент</w:t>
      </w:r>
      <w:r>
        <w:rPr>
          <w:rFonts w:ascii="Times New Roman" w:eastAsia="Times New Roman" w:hAnsi="Times New Roman" w:cs="Times New Roman"/>
          <w:sz w:val="26"/>
          <w:szCs w:val="26"/>
        </w:rPr>
        <w:t xml:space="preserve"> до якого відносять відповідні ОК обсягом не менше 36 кредитів ЄКТС;</w:t>
      </w:r>
    </w:p>
    <w:p w14:paraId="282E05AE" w14:textId="77777777" w:rsidR="009132D2" w:rsidRDefault="00000000">
      <w:pPr>
        <w:numPr>
          <w:ilvl w:val="0"/>
          <w:numId w:val="3"/>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ОНП докторів філософії нормативні ОК, як правило, групують у чотири розділи: Навчальні дисципліни для оволодіння загальнонауковими (філософськими) </w:t>
      </w:r>
      <w:proofErr w:type="spellStart"/>
      <w:r>
        <w:rPr>
          <w:rFonts w:ascii="Times New Roman" w:eastAsia="Times New Roman" w:hAnsi="Times New Roman" w:cs="Times New Roman"/>
          <w:sz w:val="26"/>
          <w:szCs w:val="26"/>
        </w:rPr>
        <w:t>компетентностями</w:t>
      </w:r>
      <w:proofErr w:type="spellEnd"/>
      <w:r>
        <w:rPr>
          <w:rFonts w:ascii="Times New Roman" w:eastAsia="Times New Roman" w:hAnsi="Times New Roman" w:cs="Times New Roman"/>
          <w:sz w:val="26"/>
          <w:szCs w:val="26"/>
        </w:rPr>
        <w:t xml:space="preserve">; Навчальні дисципліни для здобуття </w:t>
      </w:r>
      <w:proofErr w:type="spellStart"/>
      <w:r>
        <w:rPr>
          <w:rFonts w:ascii="Times New Roman" w:eastAsia="Times New Roman" w:hAnsi="Times New Roman" w:cs="Times New Roman"/>
          <w:sz w:val="26"/>
          <w:szCs w:val="26"/>
        </w:rPr>
        <w:t>мовних</w:t>
      </w:r>
      <w:proofErr w:type="spellEnd"/>
      <w:r>
        <w:rPr>
          <w:rFonts w:ascii="Times New Roman" w:eastAsia="Times New Roman" w:hAnsi="Times New Roman" w:cs="Times New Roman"/>
          <w:sz w:val="26"/>
          <w:szCs w:val="26"/>
        </w:rPr>
        <w:t xml:space="preserve"> компетентностей; Навчальні дисципліни для здобуття універсальних компетентностей дослідника, навчальні дисципліни для здобуття глибинних знань зі спеціальності.</w:t>
      </w:r>
    </w:p>
    <w:p w14:paraId="089CBAC2"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Особливою частиною навчальних планів підготовки докторів філософії є розділ </w:t>
      </w:r>
      <w:r>
        <w:rPr>
          <w:rFonts w:ascii="Times New Roman" w:eastAsia="Times New Roman" w:hAnsi="Times New Roman" w:cs="Times New Roman"/>
          <w:i/>
          <w:sz w:val="26"/>
          <w:szCs w:val="26"/>
        </w:rPr>
        <w:t xml:space="preserve">План наукової роботи, </w:t>
      </w:r>
      <w:r>
        <w:rPr>
          <w:rFonts w:ascii="Times New Roman" w:eastAsia="Times New Roman" w:hAnsi="Times New Roman" w:cs="Times New Roman"/>
          <w:sz w:val="26"/>
          <w:szCs w:val="26"/>
        </w:rPr>
        <w:t xml:space="preserve">що містить типовий перелік складових наукової роботи аспіранта впродовж терміну навчання (див. </w:t>
      </w:r>
      <w:hyperlink w:anchor="_14lgpfwxkdx7">
        <w:r w:rsidR="009132D2">
          <w:rPr>
            <w:rFonts w:ascii="Times New Roman" w:eastAsia="Times New Roman" w:hAnsi="Times New Roman" w:cs="Times New Roman"/>
            <w:color w:val="1155CC"/>
            <w:sz w:val="26"/>
            <w:szCs w:val="26"/>
            <w:u w:val="single"/>
          </w:rPr>
          <w:t>Додаток 4</w:t>
        </w:r>
      </w:hyperlink>
      <w:r>
        <w:rPr>
          <w:rFonts w:ascii="Times New Roman" w:eastAsia="Times New Roman" w:hAnsi="Times New Roman" w:cs="Times New Roman"/>
          <w:sz w:val="26"/>
          <w:szCs w:val="26"/>
        </w:rPr>
        <w:t xml:space="preserve"> до цього наказу).</w:t>
      </w:r>
    </w:p>
    <w:p w14:paraId="7FB55015" w14:textId="77777777" w:rsidR="009132D2" w:rsidRDefault="009132D2">
      <w:pPr>
        <w:ind w:firstLine="566"/>
        <w:jc w:val="both"/>
        <w:rPr>
          <w:rFonts w:ascii="Times New Roman" w:eastAsia="Times New Roman" w:hAnsi="Times New Roman" w:cs="Times New Roman"/>
          <w:sz w:val="26"/>
          <w:szCs w:val="26"/>
        </w:rPr>
      </w:pPr>
    </w:p>
    <w:p w14:paraId="69CE2AE4" w14:textId="77777777" w:rsidR="009132D2" w:rsidRDefault="00000000">
      <w:pPr>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Для </w:t>
      </w:r>
      <w:proofErr w:type="spellStart"/>
      <w:r>
        <w:rPr>
          <w:rFonts w:ascii="Times New Roman" w:eastAsia="Times New Roman" w:hAnsi="Times New Roman" w:cs="Times New Roman"/>
          <w:sz w:val="26"/>
          <w:szCs w:val="26"/>
        </w:rPr>
        <w:t>проєктування</w:t>
      </w:r>
      <w:proofErr w:type="spellEnd"/>
      <w:r>
        <w:rPr>
          <w:rFonts w:ascii="Times New Roman" w:eastAsia="Times New Roman" w:hAnsi="Times New Roman" w:cs="Times New Roman"/>
          <w:sz w:val="26"/>
          <w:szCs w:val="26"/>
        </w:rPr>
        <w:t xml:space="preserve"> навчального плану рекомендується таке щотижневе </w:t>
      </w:r>
      <w:r>
        <w:rPr>
          <w:rFonts w:ascii="Times New Roman" w:eastAsia="Times New Roman" w:hAnsi="Times New Roman" w:cs="Times New Roman"/>
          <w:i/>
          <w:sz w:val="26"/>
          <w:szCs w:val="26"/>
        </w:rPr>
        <w:t xml:space="preserve">аудиторне навантаження </w:t>
      </w:r>
      <w:r>
        <w:rPr>
          <w:rFonts w:ascii="Times New Roman" w:eastAsia="Times New Roman" w:hAnsi="Times New Roman" w:cs="Times New Roman"/>
          <w:sz w:val="26"/>
          <w:szCs w:val="26"/>
        </w:rPr>
        <w:t>здобувача вищої освіти за денною формою навчання:</w:t>
      </w:r>
    </w:p>
    <w:p w14:paraId="25505102" w14:textId="77777777" w:rsidR="009132D2" w:rsidRDefault="00000000">
      <w:pPr>
        <w:ind w:left="128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та 2 курси бакалаврської підготовки – 20… 30 годин;</w:t>
      </w:r>
    </w:p>
    <w:p w14:paraId="15408DF3" w14:textId="77777777" w:rsidR="009132D2" w:rsidRDefault="00000000">
      <w:pPr>
        <w:ind w:left="128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3 курс бакалаврської підготовки – 20…28 години;</w:t>
      </w:r>
    </w:p>
    <w:p w14:paraId="68925D0B" w14:textId="77777777" w:rsidR="009132D2" w:rsidRDefault="00000000">
      <w:pPr>
        <w:ind w:left="128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4 курс бакалаврської підготовки – 20…26 годин;</w:t>
      </w:r>
    </w:p>
    <w:p w14:paraId="520870EC" w14:textId="77777777" w:rsidR="009132D2" w:rsidRDefault="00000000">
      <w:pPr>
        <w:ind w:left="128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курс магістерської підготовки – 16…24 годин;</w:t>
      </w:r>
    </w:p>
    <w:p w14:paraId="28E0E63A" w14:textId="77777777" w:rsidR="009132D2" w:rsidRDefault="00000000">
      <w:pPr>
        <w:ind w:left="128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 курс магістерської підготовки – 16…20 годин.</w:t>
      </w:r>
    </w:p>
    <w:p w14:paraId="56ED0667" w14:textId="77777777" w:rsidR="009132D2" w:rsidRDefault="00000000">
      <w:pPr>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Час для самостійної роботи здобувача Т</w:t>
      </w:r>
      <w:r>
        <w:rPr>
          <w:rFonts w:ascii="Times New Roman" w:eastAsia="Times New Roman" w:hAnsi="Times New Roman" w:cs="Times New Roman"/>
          <w:sz w:val="26"/>
          <w:szCs w:val="26"/>
          <w:vertAlign w:val="subscript"/>
        </w:rPr>
        <w:t>СРС</w:t>
      </w:r>
      <w:r>
        <w:rPr>
          <w:rFonts w:ascii="Times New Roman" w:eastAsia="Times New Roman" w:hAnsi="Times New Roman" w:cs="Times New Roman"/>
          <w:sz w:val="26"/>
          <w:szCs w:val="26"/>
        </w:rPr>
        <w:t xml:space="preserve"> (далі – СРС) з освітнього компонента визначається як:</w:t>
      </w:r>
    </w:p>
    <w:p w14:paraId="5E1B7442" w14:textId="77777777" w:rsidR="009132D2"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w:t>
      </w:r>
      <w:r>
        <w:rPr>
          <w:rFonts w:ascii="Times New Roman" w:eastAsia="Times New Roman" w:hAnsi="Times New Roman" w:cs="Times New Roman"/>
          <w:sz w:val="26"/>
          <w:szCs w:val="26"/>
          <w:vertAlign w:val="subscript"/>
        </w:rPr>
        <w:t xml:space="preserve">СРС </w:t>
      </w:r>
      <w:r>
        <w:rPr>
          <w:rFonts w:ascii="Times New Roman" w:eastAsia="Times New Roman" w:hAnsi="Times New Roman" w:cs="Times New Roman"/>
          <w:sz w:val="26"/>
          <w:szCs w:val="26"/>
        </w:rPr>
        <w:t>= Т</w:t>
      </w:r>
      <w:r>
        <w:rPr>
          <w:rFonts w:ascii="Times New Roman" w:eastAsia="Times New Roman" w:hAnsi="Times New Roman" w:cs="Times New Roman"/>
          <w:sz w:val="26"/>
          <w:szCs w:val="26"/>
          <w:vertAlign w:val="subscript"/>
        </w:rPr>
        <w:t xml:space="preserve">0 </w:t>
      </w:r>
      <w:r>
        <w:rPr>
          <w:rFonts w:ascii="Times New Roman" w:eastAsia="Times New Roman" w:hAnsi="Times New Roman" w:cs="Times New Roman"/>
          <w:sz w:val="26"/>
          <w:szCs w:val="26"/>
        </w:rPr>
        <w:t>– Т</w:t>
      </w:r>
      <w:r>
        <w:rPr>
          <w:rFonts w:ascii="Times New Roman" w:eastAsia="Times New Roman" w:hAnsi="Times New Roman" w:cs="Times New Roman"/>
          <w:sz w:val="26"/>
          <w:szCs w:val="26"/>
          <w:vertAlign w:val="subscript"/>
        </w:rPr>
        <w:t>А</w:t>
      </w:r>
      <w:r>
        <w:rPr>
          <w:rFonts w:ascii="Times New Roman" w:eastAsia="Times New Roman" w:hAnsi="Times New Roman" w:cs="Times New Roman"/>
          <w:sz w:val="26"/>
          <w:szCs w:val="26"/>
        </w:rPr>
        <w:t>.</w:t>
      </w:r>
    </w:p>
    <w:p w14:paraId="5E47F5D2" w14:textId="77777777" w:rsidR="009132D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 загальний обсяг освітнього компонента, годин;</w:t>
      </w:r>
    </w:p>
    <w:p w14:paraId="09AE5E12" w14:textId="77777777" w:rsidR="009132D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w:t>
      </w:r>
      <w:r>
        <w:rPr>
          <w:rFonts w:ascii="Times New Roman" w:eastAsia="Times New Roman" w:hAnsi="Times New Roman" w:cs="Times New Roman"/>
          <w:sz w:val="26"/>
          <w:szCs w:val="26"/>
          <w:vertAlign w:val="subscript"/>
        </w:rPr>
        <w:t>А</w:t>
      </w:r>
      <w:r>
        <w:rPr>
          <w:rFonts w:ascii="Times New Roman" w:eastAsia="Times New Roman" w:hAnsi="Times New Roman" w:cs="Times New Roman"/>
          <w:sz w:val="26"/>
          <w:szCs w:val="26"/>
        </w:rPr>
        <w:t xml:space="preserve"> – обсяг всіх аудиторних занять з освітнього компонента, години.</w:t>
      </w:r>
    </w:p>
    <w:p w14:paraId="015B97C8" w14:textId="77777777" w:rsidR="009132D2" w:rsidRDefault="009132D2">
      <w:pPr>
        <w:jc w:val="both"/>
        <w:rPr>
          <w:rFonts w:ascii="Times New Roman" w:eastAsia="Times New Roman" w:hAnsi="Times New Roman" w:cs="Times New Roman"/>
          <w:sz w:val="26"/>
          <w:szCs w:val="26"/>
        </w:rPr>
      </w:pPr>
    </w:p>
    <w:p w14:paraId="31DA92D2" w14:textId="77777777" w:rsidR="009132D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Обсяг аудиторних занять </w:t>
      </w:r>
      <w:r>
        <w:rPr>
          <w:rFonts w:ascii="Times New Roman" w:eastAsia="Times New Roman" w:hAnsi="Times New Roman" w:cs="Times New Roman"/>
          <w:b/>
          <w:sz w:val="26"/>
          <w:szCs w:val="26"/>
        </w:rPr>
        <w:t>навчальної дисципліни</w:t>
      </w:r>
      <w:r>
        <w:rPr>
          <w:rFonts w:ascii="Times New Roman" w:eastAsia="Times New Roman" w:hAnsi="Times New Roman" w:cs="Times New Roman"/>
          <w:sz w:val="26"/>
          <w:szCs w:val="26"/>
        </w:rPr>
        <w:t xml:space="preserve"> визначається з урахуванням обмежень щодо обсягу щотижневого аудиторного навантаження та мінімального обсягу навчальних занять в одному кредиті ЄКТС –  не менше 10 годин для першого (бакалаврського) рівня, не менше 8 годин для другого (магістерського) рівня та третього (освітньо-наукового) рівня вищої освіти за денною або дуальною формою здобуття вищої освіти.</w:t>
      </w:r>
    </w:p>
    <w:p w14:paraId="293F60DA" w14:textId="77777777" w:rsidR="009132D2" w:rsidRDefault="009132D2">
      <w:pPr>
        <w:ind w:firstLine="20"/>
        <w:jc w:val="both"/>
        <w:rPr>
          <w:rFonts w:ascii="Times New Roman" w:eastAsia="Times New Roman" w:hAnsi="Times New Roman" w:cs="Times New Roman"/>
          <w:sz w:val="26"/>
          <w:szCs w:val="26"/>
        </w:rPr>
      </w:pPr>
    </w:p>
    <w:p w14:paraId="7F735303" w14:textId="77777777" w:rsidR="009132D2" w:rsidRDefault="00000000">
      <w:pPr>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 метою забезпечення оптимального навантаження здобувачів вищої освіти пропонується врахувати деякі обмеження:</w:t>
      </w:r>
    </w:p>
    <w:p w14:paraId="06448B0C" w14:textId="77777777" w:rsidR="009132D2" w:rsidRDefault="00000000">
      <w:pPr>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 семестрі планується до п’яти індивідуальних семестрових завдань (ІСЗ);</w:t>
      </w:r>
    </w:p>
    <w:p w14:paraId="0E970B47" w14:textId="77777777" w:rsidR="009132D2" w:rsidRDefault="00000000">
      <w:pPr>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модульна контрольна робота (МКР) планується одна на освітній компонент.</w:t>
      </w:r>
    </w:p>
    <w:p w14:paraId="539853F2" w14:textId="77777777" w:rsidR="009132D2" w:rsidRDefault="009132D2">
      <w:pPr>
        <w:ind w:firstLine="20"/>
        <w:jc w:val="both"/>
        <w:rPr>
          <w:rFonts w:ascii="Times New Roman" w:eastAsia="Times New Roman" w:hAnsi="Times New Roman" w:cs="Times New Roman"/>
          <w:sz w:val="26"/>
          <w:szCs w:val="26"/>
        </w:rPr>
      </w:pPr>
    </w:p>
    <w:p w14:paraId="15D94AC0" w14:textId="77777777" w:rsidR="009132D2" w:rsidRDefault="00000000">
      <w:pPr>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Окремо для ОК плануються відповідні заходи поточного та семестрового контролів (екзамен, залік, МКР, ІСЗ).</w:t>
      </w:r>
    </w:p>
    <w:p w14:paraId="4C156770" w14:textId="77777777" w:rsidR="009132D2" w:rsidRDefault="00000000">
      <w:pPr>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В навчальних планах для заочної форми навчання планується проведення МКР з кожного освітнього компонента, яка виконується здобувачами самостійно як домашня контрольна робота (ДКР).</w:t>
      </w:r>
    </w:p>
    <w:p w14:paraId="6C2E1CA9" w14:textId="77777777" w:rsidR="009132D2" w:rsidRDefault="00000000">
      <w:pPr>
        <w:spacing w:before="240"/>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Під час планування індивідуального завдання з певного ОК необхідно забезпечити баланс часу СРС відповідної освітньої компоненти. Підґрунтям цього розрахунку є орієнтовні норми часу на виконання здобувачами вищої освіти окремих робіт:</w:t>
      </w:r>
    </w:p>
    <w:tbl>
      <w:tblPr>
        <w:tblStyle w:val="ab"/>
        <w:tblW w:w="99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
        <w:gridCol w:w="900"/>
        <w:gridCol w:w="1050"/>
        <w:gridCol w:w="1140"/>
        <w:gridCol w:w="1230"/>
        <w:gridCol w:w="870"/>
        <w:gridCol w:w="675"/>
        <w:gridCol w:w="1065"/>
        <w:gridCol w:w="975"/>
        <w:gridCol w:w="1155"/>
      </w:tblGrid>
      <w:tr w:rsidR="009132D2" w14:paraId="6F606A16" w14:textId="77777777">
        <w:trPr>
          <w:trHeight w:val="465"/>
        </w:trPr>
        <w:tc>
          <w:tcPr>
            <w:tcW w:w="885"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00E6B97"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 роботи</w:t>
            </w:r>
          </w:p>
        </w:tc>
        <w:tc>
          <w:tcPr>
            <w:tcW w:w="5190" w:type="dxa"/>
            <w:gridSpan w:val="5"/>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044264CA"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до одного аудиторного академічного часу</w:t>
            </w:r>
          </w:p>
        </w:tc>
        <w:tc>
          <w:tcPr>
            <w:tcW w:w="1740"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2214033"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та складання</w:t>
            </w:r>
          </w:p>
        </w:tc>
        <w:tc>
          <w:tcPr>
            <w:tcW w:w="2130"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0A89B73"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w:t>
            </w:r>
          </w:p>
        </w:tc>
      </w:tr>
      <w:tr w:rsidR="009132D2" w14:paraId="57336813" w14:textId="77777777">
        <w:trPr>
          <w:trHeight w:val="435"/>
        </w:trPr>
        <w:tc>
          <w:tcPr>
            <w:tcW w:w="88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14:paraId="60D2C0A1" w14:textId="77777777" w:rsidR="009132D2" w:rsidRDefault="009132D2">
            <w:pPr>
              <w:ind w:left="100"/>
              <w:jc w:val="both"/>
              <w:rPr>
                <w:rFonts w:ascii="Times New Roman" w:eastAsia="Times New Roman" w:hAnsi="Times New Roman" w:cs="Times New Roman"/>
                <w:sz w:val="24"/>
                <w:szCs w:val="24"/>
              </w:rPr>
            </w:pP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034DD66" w14:textId="77777777" w:rsidR="009132D2" w:rsidRDefault="00000000">
            <w:pPr>
              <w:spacing w:line="240" w:lineRule="auto"/>
              <w:ind w:left="-5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Лекції</w:t>
            </w:r>
          </w:p>
        </w:tc>
        <w:tc>
          <w:tcPr>
            <w:tcW w:w="10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71E3DA9" w14:textId="77777777" w:rsidR="009132D2" w:rsidRDefault="00000000">
            <w:pPr>
              <w:spacing w:line="240" w:lineRule="auto"/>
              <w:ind w:left="-5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Практичні</w:t>
            </w:r>
          </w:p>
        </w:tc>
        <w:tc>
          <w:tcPr>
            <w:tcW w:w="11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E3071A8" w14:textId="77777777" w:rsidR="009132D2" w:rsidRDefault="00000000">
            <w:pPr>
              <w:spacing w:line="240" w:lineRule="auto"/>
              <w:ind w:left="-5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Семінарські</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3851E22" w14:textId="77777777" w:rsidR="009132D2" w:rsidRDefault="00000000">
            <w:pPr>
              <w:spacing w:line="240" w:lineRule="auto"/>
              <w:ind w:left="-5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Лабораторні</w:t>
            </w:r>
          </w:p>
        </w:tc>
        <w:tc>
          <w:tcPr>
            <w:tcW w:w="8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4E1F1F8" w14:textId="77777777" w:rsidR="009132D2" w:rsidRDefault="00000000">
            <w:pPr>
              <w:spacing w:line="240" w:lineRule="auto"/>
              <w:ind w:lef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МКР* (денна)</w:t>
            </w:r>
          </w:p>
        </w:tc>
        <w:tc>
          <w:tcPr>
            <w:tcW w:w="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B0C74FB" w14:textId="77777777" w:rsidR="009132D2" w:rsidRDefault="00000000">
            <w:pPr>
              <w:spacing w:line="240" w:lineRule="auto"/>
              <w:ind w:lef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Залік</w:t>
            </w:r>
          </w:p>
        </w:tc>
        <w:tc>
          <w:tcPr>
            <w:tcW w:w="106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7F0C2BC" w14:textId="77777777" w:rsidR="009132D2" w:rsidRDefault="00000000">
            <w:pPr>
              <w:spacing w:line="240" w:lineRule="auto"/>
              <w:ind w:lef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Екзамен</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A6B8262" w14:textId="77777777" w:rsidR="009132D2" w:rsidRDefault="00000000">
            <w:pPr>
              <w:spacing w:line="240" w:lineRule="auto"/>
              <w:ind w:lef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ІСЗ (денна)</w:t>
            </w:r>
          </w:p>
        </w:tc>
        <w:tc>
          <w:tcPr>
            <w:tcW w:w="11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975CC82" w14:textId="77777777" w:rsidR="009132D2" w:rsidRDefault="00000000">
            <w:pPr>
              <w:spacing w:line="240" w:lineRule="auto"/>
              <w:ind w:lef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ДКР (заочна)</w:t>
            </w:r>
          </w:p>
        </w:tc>
      </w:tr>
      <w:tr w:rsidR="009132D2" w14:paraId="7E79A9C6" w14:textId="77777777">
        <w:trPr>
          <w:trHeight w:val="660"/>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A2C7A5D"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 часу (год.)</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75F3D57"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0,3-0,5</w:t>
            </w:r>
          </w:p>
        </w:tc>
        <w:tc>
          <w:tcPr>
            <w:tcW w:w="10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BC1209A"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w:t>
            </w:r>
          </w:p>
        </w:tc>
        <w:tc>
          <w:tcPr>
            <w:tcW w:w="11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B0C804D"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9A2C0F9"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3D1D060"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333A406"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6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F288061"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FD1C900"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c>
          <w:tcPr>
            <w:tcW w:w="11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E18F4F1" w14:textId="77777777" w:rsidR="009132D2" w:rsidRDefault="00000000">
            <w:pPr>
              <w:spacing w:line="240" w:lineRule="auto"/>
              <w:ind w:lef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r>
    </w:tbl>
    <w:p w14:paraId="1C73042C" w14:textId="77777777" w:rsidR="009132D2" w:rsidRDefault="009132D2">
      <w:pPr>
        <w:ind w:firstLine="20"/>
        <w:jc w:val="both"/>
        <w:rPr>
          <w:rFonts w:ascii="Times New Roman" w:eastAsia="Times New Roman" w:hAnsi="Times New Roman" w:cs="Times New Roman"/>
          <w:i/>
          <w:color w:val="073763"/>
        </w:rPr>
      </w:pPr>
    </w:p>
    <w:p w14:paraId="0373CD8D" w14:textId="77777777" w:rsidR="009132D2" w:rsidRDefault="00000000">
      <w:pPr>
        <w:ind w:hanging="141"/>
        <w:jc w:val="both"/>
        <w:rPr>
          <w:rFonts w:ascii="Times New Roman" w:eastAsia="Times New Roman" w:hAnsi="Times New Roman" w:cs="Times New Roman"/>
          <w:i/>
          <w:color w:val="073763"/>
        </w:rPr>
      </w:pPr>
      <w:r>
        <w:rPr>
          <w:rFonts w:ascii="Times New Roman" w:eastAsia="Times New Roman" w:hAnsi="Times New Roman" w:cs="Times New Roman"/>
          <w:i/>
          <w:color w:val="073763"/>
        </w:rPr>
        <w:t xml:space="preserve">*)На виконання МКР для здобувачів вищої освіти за денною формою відводиться дві академічні аудиторні години. При плануванні контрольних заходів двогодинна МКР може бути поділена, наприклад, на дві одногодинні. Тривалість і методика проведення МКР визначається </w:t>
      </w:r>
      <w:proofErr w:type="spellStart"/>
      <w:r>
        <w:rPr>
          <w:rFonts w:ascii="Times New Roman" w:eastAsia="Times New Roman" w:hAnsi="Times New Roman" w:cs="Times New Roman"/>
          <w:i/>
          <w:color w:val="073763"/>
        </w:rPr>
        <w:t>силабусом</w:t>
      </w:r>
      <w:proofErr w:type="spellEnd"/>
      <w:r>
        <w:rPr>
          <w:rFonts w:ascii="Times New Roman" w:eastAsia="Times New Roman" w:hAnsi="Times New Roman" w:cs="Times New Roman"/>
          <w:i/>
          <w:color w:val="073763"/>
        </w:rPr>
        <w:t xml:space="preserve"> – робочою програмою навчальної дисципліни (освітнього компонента). </w:t>
      </w:r>
    </w:p>
    <w:p w14:paraId="0CA14B3B" w14:textId="77777777" w:rsidR="009132D2" w:rsidRDefault="009132D2">
      <w:pPr>
        <w:ind w:firstLine="566"/>
        <w:jc w:val="both"/>
        <w:rPr>
          <w:rFonts w:ascii="Times New Roman" w:eastAsia="Times New Roman" w:hAnsi="Times New Roman" w:cs="Times New Roman"/>
          <w:sz w:val="24"/>
          <w:szCs w:val="24"/>
        </w:rPr>
      </w:pPr>
    </w:p>
    <w:p w14:paraId="22CFC1F8" w14:textId="77777777" w:rsidR="009132D2" w:rsidRDefault="009132D2">
      <w:pPr>
        <w:pBdr>
          <w:top w:val="nil"/>
          <w:left w:val="nil"/>
          <w:bottom w:val="nil"/>
          <w:right w:val="nil"/>
          <w:between w:val="nil"/>
        </w:pBdr>
        <w:jc w:val="center"/>
        <w:rPr>
          <w:rFonts w:ascii="Times New Roman" w:eastAsia="Times New Roman" w:hAnsi="Times New Roman" w:cs="Times New Roman"/>
          <w:sz w:val="24"/>
          <w:szCs w:val="24"/>
        </w:rPr>
      </w:pPr>
    </w:p>
    <w:p w14:paraId="17510F07" w14:textId="77777777" w:rsidR="009132D2" w:rsidRDefault="00000000">
      <w:pPr>
        <w:pBdr>
          <w:top w:val="nil"/>
          <w:left w:val="nil"/>
          <w:bottom w:val="nil"/>
          <w:right w:val="nil"/>
          <w:between w:val="nil"/>
        </w:pBdr>
        <w:jc w:val="center"/>
        <w:rPr>
          <w:rFonts w:ascii="Times New Roman" w:eastAsia="Times New Roman" w:hAnsi="Times New Roman" w:cs="Times New Roman"/>
          <w:b/>
          <w:i/>
          <w:color w:val="0B5394"/>
          <w:sz w:val="26"/>
          <w:szCs w:val="26"/>
        </w:rPr>
      </w:pPr>
      <w:r>
        <w:rPr>
          <w:rFonts w:ascii="Times New Roman" w:eastAsia="Times New Roman" w:hAnsi="Times New Roman" w:cs="Times New Roman"/>
          <w:b/>
          <w:i/>
          <w:color w:val="0B5394"/>
          <w:sz w:val="26"/>
          <w:szCs w:val="26"/>
        </w:rPr>
        <w:t>Особливості складання робочих навчальних планів</w:t>
      </w:r>
    </w:p>
    <w:p w14:paraId="1BBA4168"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Робочий навчальний план (далі – РНП) складається на кожен рік підготовки здобувачів вищої освіти за відповідним навчальним планом з метою</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врахування специфіки та деталізації всіх особливостей організації освітнього процесу у відповідному навчальному році, а також закріплення навчальних дисциплін (освітніх компонентів) за певними кафедрами.</w:t>
      </w:r>
    </w:p>
    <w:p w14:paraId="536BFFA8"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Під час складання робочих навчальних планів враховуються такі особливості:</w:t>
      </w:r>
    </w:p>
    <w:p w14:paraId="713BB7CE"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визначення кафедр, що забезпечують заняття з певних ОК;</w:t>
      </w:r>
    </w:p>
    <w:p w14:paraId="1B0749A2"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зазначення дисциплін вільного вибору, що обрали здобувачі вищої освіти для вивчення у відповідному навчальному році;</w:t>
      </w:r>
    </w:p>
    <w:p w14:paraId="01A07FA2"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розподіл годин навантаження для проведення заходів з практики та атестації (для випускних курсів).</w:t>
      </w:r>
    </w:p>
    <w:p w14:paraId="054D0AAD"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Робочі навчальні плани ухвалюються завідувачем випускової кафедри, Вченою радою відповідного ННІ/факультету та затверджуються проректором з навчальної роботи, як правило, за 3-4 місяці до початку навчального року. Для докторів філософії РНП додатково погоджується з головою НМКУ відповідної спеціальності. </w:t>
      </w:r>
    </w:p>
    <w:p w14:paraId="779F3163"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Рішення щодо необхідності в кваліфікаційній роботі окремого розділу/підрозділу з охорони праці, екології, економіки, організації виробництва, розробки стартап-проєктів тощо приймає випускова кафедра (НМКУ – у разі, якщо підготовку за ОП здійснює декілька кафедр) з урахуванням відповідного переліку компетентностей в освітній програмі. Кафедра або НМКУ також може ухвалити рішення щодо запрошення консультантів та членів ЕК з цих напрямів. Ці рішення відображаються у </w:t>
      </w:r>
      <w:r>
        <w:rPr>
          <w:rFonts w:ascii="Times New Roman" w:eastAsia="Times New Roman" w:hAnsi="Times New Roman" w:cs="Times New Roman"/>
          <w:sz w:val="26"/>
          <w:szCs w:val="26"/>
        </w:rPr>
        <w:lastRenderedPageBreak/>
        <w:t xml:space="preserve">робочих навчальних планах, а саме в таблиці </w:t>
      </w:r>
      <w:r>
        <w:rPr>
          <w:rFonts w:ascii="Times New Roman" w:eastAsia="Times New Roman" w:hAnsi="Times New Roman" w:cs="Times New Roman"/>
          <w:i/>
          <w:sz w:val="26"/>
          <w:szCs w:val="26"/>
        </w:rPr>
        <w:t>«Розподіл годин з підготовки та захисту кваліфікаційної роботи»</w:t>
      </w:r>
      <w:r>
        <w:rPr>
          <w:rFonts w:ascii="Times New Roman" w:eastAsia="Times New Roman" w:hAnsi="Times New Roman" w:cs="Times New Roman"/>
          <w:sz w:val="26"/>
          <w:szCs w:val="26"/>
        </w:rPr>
        <w:t>.</w:t>
      </w:r>
    </w:p>
    <w:p w14:paraId="3136A48D"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стовпчиках РНП </w:t>
      </w:r>
      <w:r>
        <w:rPr>
          <w:rFonts w:ascii="Times New Roman" w:eastAsia="Times New Roman" w:hAnsi="Times New Roman" w:cs="Times New Roman"/>
          <w:i/>
          <w:sz w:val="26"/>
          <w:szCs w:val="26"/>
        </w:rPr>
        <w:t>«Розподіл аудиторних годин занять на тиждень за семестрами»</w:t>
      </w:r>
      <w:r>
        <w:rPr>
          <w:rFonts w:ascii="Times New Roman" w:eastAsia="Times New Roman" w:hAnsi="Times New Roman" w:cs="Times New Roman"/>
          <w:sz w:val="26"/>
          <w:szCs w:val="26"/>
        </w:rPr>
        <w:t xml:space="preserve"> поряд з номером курсу додатково вказують шифри відповідних навчальних груп і кількість здобувачів вищої освіти (бюджетних та контрактних). Далі зазначається середньо-тижневий аудиторний час з кожного освітнього компонента. Наприкінці таблиці зазначається загальна кількість годин аудиторних занять на тиждень у кожному семестрі, а також кількість екзаменів, заліків та курсових проєктів/робіт.</w:t>
      </w:r>
    </w:p>
    <w:p w14:paraId="185379EF" w14:textId="77777777" w:rsidR="009132D2" w:rsidRDefault="00000000">
      <w:p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окремих таблицях (для РНП випускних курсів) визначається необхідна інформація з практик, атестації і розподіл годин відповідного навчального навантаження НПП.</w:t>
      </w:r>
    </w:p>
    <w:p w14:paraId="55798EF4" w14:textId="77777777" w:rsidR="009132D2" w:rsidRDefault="009132D2">
      <w:pPr>
        <w:ind w:firstLine="566"/>
        <w:jc w:val="both"/>
        <w:rPr>
          <w:rFonts w:ascii="Times New Roman" w:eastAsia="Times New Roman" w:hAnsi="Times New Roman" w:cs="Times New Roman"/>
          <w:color w:val="FF0000"/>
          <w:sz w:val="26"/>
          <w:szCs w:val="26"/>
        </w:rPr>
      </w:pPr>
    </w:p>
    <w:p w14:paraId="336E0B45" w14:textId="77777777" w:rsidR="009132D2" w:rsidRDefault="00000000">
      <w:pPr>
        <w:ind w:firstLine="566"/>
        <w:jc w:val="center"/>
        <w:rPr>
          <w:rFonts w:ascii="Times New Roman" w:eastAsia="Times New Roman" w:hAnsi="Times New Roman" w:cs="Times New Roman"/>
          <w:b/>
          <w:i/>
          <w:color w:val="0B5394"/>
          <w:sz w:val="26"/>
          <w:szCs w:val="26"/>
        </w:rPr>
      </w:pPr>
      <w:r>
        <w:rPr>
          <w:rFonts w:ascii="Times New Roman" w:eastAsia="Times New Roman" w:hAnsi="Times New Roman" w:cs="Times New Roman"/>
          <w:b/>
          <w:i/>
          <w:color w:val="0B5394"/>
          <w:sz w:val="26"/>
          <w:szCs w:val="26"/>
        </w:rPr>
        <w:t xml:space="preserve">Особливості організації заочної форми навчання </w:t>
      </w:r>
      <w:r>
        <w:rPr>
          <w:rFonts w:ascii="Times New Roman" w:eastAsia="Times New Roman" w:hAnsi="Times New Roman" w:cs="Times New Roman"/>
          <w:b/>
          <w:i/>
          <w:color w:val="0B5394"/>
          <w:sz w:val="26"/>
          <w:szCs w:val="26"/>
        </w:rPr>
        <w:br/>
        <w:t>та розроблення навчальних планів</w:t>
      </w:r>
    </w:p>
    <w:p w14:paraId="1FB32DBC" w14:textId="77777777" w:rsidR="009132D2" w:rsidRDefault="00000000">
      <w:pPr>
        <w:pBdr>
          <w:top w:val="nil"/>
          <w:left w:val="nil"/>
          <w:bottom w:val="nil"/>
          <w:right w:val="nil"/>
          <w:between w:val="nil"/>
        </w:pBd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Заочна форма здобуття вищої освіти – це спосіб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 Тривалість періоду між навчальними заняттями та контрольними заходами не може бути меншою, ніж один місяць. </w:t>
      </w:r>
    </w:p>
    <w:p w14:paraId="37EE4CB4" w14:textId="77777777" w:rsidR="009132D2" w:rsidRDefault="00000000">
      <w:pPr>
        <w:pBdr>
          <w:top w:val="nil"/>
          <w:left w:val="nil"/>
          <w:bottom w:val="nil"/>
          <w:right w:val="nil"/>
          <w:between w:val="nil"/>
        </w:pBd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Установча сесія для заочної форми навчання – це частина навчального року, протягом якої здійснюється навчальний процес за всіма видами навчальних занять, передбаченими навчальним планом (лекції, лабораторні, практичні тощо). Лекції для здобувачів вищої освіти – заочників, як правило, мають настановний, концептуальний, </w:t>
      </w:r>
      <w:proofErr w:type="spellStart"/>
      <w:r>
        <w:rPr>
          <w:rFonts w:ascii="Times New Roman" w:eastAsia="Times New Roman" w:hAnsi="Times New Roman" w:cs="Times New Roman"/>
          <w:sz w:val="26"/>
          <w:szCs w:val="26"/>
        </w:rPr>
        <w:t>узагальнювальний</w:t>
      </w:r>
      <w:proofErr w:type="spellEnd"/>
      <w:r>
        <w:rPr>
          <w:rFonts w:ascii="Times New Roman" w:eastAsia="Times New Roman" w:hAnsi="Times New Roman" w:cs="Times New Roman"/>
          <w:sz w:val="26"/>
          <w:szCs w:val="26"/>
        </w:rPr>
        <w:t xml:space="preserve"> та оглядовий характер. Семінарські заняття проводяться за основними темами програми, які виносяться на самостійне вивчення здобувачами вищої освіти. Практичні та лабораторні роботи мають забезпечувати формування необхідної сукупності умінь та їх необхідного рівня.</w:t>
      </w:r>
    </w:p>
    <w:p w14:paraId="4C017333" w14:textId="77777777" w:rsidR="009132D2" w:rsidRDefault="00000000">
      <w:pPr>
        <w:pBdr>
          <w:top w:val="nil"/>
          <w:left w:val="nil"/>
          <w:bottom w:val="nil"/>
          <w:right w:val="nil"/>
          <w:between w:val="nil"/>
        </w:pBd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Загальна тривалість сесій на кожний навчальний рік визначається, виходячи з обсягу додаткових відпусток, зазначених у ст. 15 Закону України «Про відпустки». На першому та другому курсах студентам-заочникам надаються додаткові оплачувані відпустки тривалістю 30 календарних днів, для здобувачів вищої освіти третього і наступних курсів та при здобутті наступної вищої освіти – 40 календарних днів, для здобувачів вищої освіти ступеня доктора філософії – 30 календарних днів. Для проведення атестації здобувачів вищої освіти надаються додаткові оплачувані відпустки: на період складання атестаційних екзаменів – 30 календарних днів, на період підготовки та захисту кваліфікаційної роботи – чотири місяці.</w:t>
      </w:r>
    </w:p>
    <w:p w14:paraId="6EAD5540" w14:textId="77777777" w:rsidR="009132D2" w:rsidRDefault="00000000">
      <w:pPr>
        <w:pBdr>
          <w:top w:val="nil"/>
          <w:left w:val="nil"/>
          <w:bottom w:val="nil"/>
          <w:right w:val="nil"/>
          <w:between w:val="nil"/>
        </w:pBdr>
        <w:ind w:firstLine="566"/>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Міжсесійний період для заочної форми навчання – це частина навчального року, впродовж якого здійснюється самостійна навчальна робота здобувачів вищої освіти – самостійне засвоєння теоретичного матеріалу і виконання контрольних робіт, індивідуальних завдань. </w:t>
      </w:r>
    </w:p>
    <w:p w14:paraId="0AAC5D68" w14:textId="77777777" w:rsidR="009132D2" w:rsidRDefault="00000000">
      <w:pPr>
        <w:pBdr>
          <w:top w:val="nil"/>
          <w:left w:val="nil"/>
          <w:bottom w:val="nil"/>
          <w:right w:val="nil"/>
          <w:between w:val="nil"/>
        </w:pBd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З метою забезпечення систематичної самостійної роботи здобувачів вищої освіти – заочників у міжсесійний період можуть проводитися консультації курсових проєктів/робіт та інших індивідуальних завдань. При підготовці магістрів-заочників, аспірантів-заочників науковий керівник має забезпечити необхідні консультації з теми наукових досліджень та регулярний контроль виконання індивідуального плану магістра/аспіранта. У міжсесійний період здобувачам вищої освіти – заочників може надаватися можливість відвідувати навчальні заняття та виконувати інші види навчальної роботи разом зі здобувачами вищої освіти денної форми навчання (за згодою викладача), або окремо, якщо це передбачено робочим навчальним планом. Практика здобувачів вищої освіти – заочників проводиться у міжсесійний період без відриву від виробництва за відповідними індивідуальними планами.</w:t>
      </w:r>
    </w:p>
    <w:p w14:paraId="11881AA7" w14:textId="77777777" w:rsidR="009132D2" w:rsidRDefault="00000000">
      <w:pPr>
        <w:pBdr>
          <w:top w:val="nil"/>
          <w:left w:val="nil"/>
          <w:bottom w:val="nil"/>
          <w:right w:val="nil"/>
          <w:between w:val="nil"/>
        </w:pBd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Під час розроблення навчальних планів для заочної форми навчання необхідно мати на увазі, що перелік та послідовність навчальних дисциплін, загальна кількість годин на їх засвоєння, вид семестрового контролю повинні бути такими самими, як у навчальному плані денної форми навчання. При визначенні кількості аудиторних годин необхідно враховувати, що обсяги аудиторних занять при заочному навчанні обмежуються тривалістю  сесій. Розподіл аудиторних занять з дисципліни рекомендується визначати </w:t>
      </w:r>
      <w:proofErr w:type="spellStart"/>
      <w:r>
        <w:rPr>
          <w:rFonts w:ascii="Times New Roman" w:eastAsia="Times New Roman" w:hAnsi="Times New Roman" w:cs="Times New Roman"/>
          <w:sz w:val="26"/>
          <w:szCs w:val="26"/>
        </w:rPr>
        <w:t>пропорційно</w:t>
      </w:r>
      <w:proofErr w:type="spellEnd"/>
      <w:r>
        <w:rPr>
          <w:rFonts w:ascii="Times New Roman" w:eastAsia="Times New Roman" w:hAnsi="Times New Roman" w:cs="Times New Roman"/>
          <w:sz w:val="26"/>
          <w:szCs w:val="26"/>
        </w:rPr>
        <w:t xml:space="preserve"> до їх обсягів у навчальному плані з денної форми навчання. Усі індивідуальні завдання, що передбачені навчальним планом денної форми навчання, мають бути запланованими у відповідних навчальних планах заочної форми навчання, а модульну контрольну роботу з ОК, що запланована у навчальних планах денної форми навчання, проводять за методикою домашньої контрольної роботи.</w:t>
      </w:r>
    </w:p>
    <w:p w14:paraId="2D73312A" w14:textId="77777777" w:rsidR="009132D2" w:rsidRDefault="009132D2">
      <w:pPr>
        <w:pBdr>
          <w:top w:val="nil"/>
          <w:left w:val="nil"/>
          <w:bottom w:val="nil"/>
          <w:right w:val="nil"/>
          <w:between w:val="nil"/>
        </w:pBdr>
        <w:ind w:firstLine="566"/>
        <w:jc w:val="both"/>
        <w:rPr>
          <w:rFonts w:ascii="Times New Roman" w:eastAsia="Times New Roman" w:hAnsi="Times New Roman" w:cs="Times New Roman"/>
          <w:sz w:val="24"/>
          <w:szCs w:val="24"/>
        </w:rPr>
      </w:pPr>
    </w:p>
    <w:p w14:paraId="3731F073" w14:textId="77777777" w:rsidR="009132D2" w:rsidRDefault="00000000">
      <w:pPr>
        <w:pBdr>
          <w:top w:val="nil"/>
          <w:left w:val="nil"/>
          <w:bottom w:val="nil"/>
          <w:right w:val="nil"/>
          <w:between w:val="nil"/>
        </w:pBdr>
        <w:jc w:val="center"/>
        <w:rPr>
          <w:rFonts w:ascii="Times New Roman" w:eastAsia="Times New Roman" w:hAnsi="Times New Roman" w:cs="Times New Roman"/>
          <w:b/>
          <w:i/>
          <w:color w:val="0B5394"/>
          <w:sz w:val="26"/>
          <w:szCs w:val="26"/>
        </w:rPr>
      </w:pPr>
      <w:r>
        <w:rPr>
          <w:rFonts w:ascii="Times New Roman" w:eastAsia="Times New Roman" w:hAnsi="Times New Roman" w:cs="Times New Roman"/>
          <w:b/>
          <w:i/>
          <w:color w:val="0B5394"/>
          <w:sz w:val="26"/>
          <w:szCs w:val="26"/>
        </w:rPr>
        <w:t xml:space="preserve">Особливості розроблення інтегрованих навчальних планів </w:t>
      </w:r>
    </w:p>
    <w:p w14:paraId="11E23D9A" w14:textId="77777777" w:rsidR="009132D2" w:rsidRDefault="00000000">
      <w:pPr>
        <w:pBdr>
          <w:top w:val="nil"/>
          <w:left w:val="nil"/>
          <w:bottom w:val="nil"/>
          <w:right w:val="nil"/>
          <w:between w:val="nil"/>
        </w:pBdr>
        <w:ind w:firstLine="566"/>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Обсяг, структура та рівень компетенцій здобувача вищої освіти, який здобуває вищу освіту за скороченим терміном навчання, мають відповідати вимогам відповідних стандартів вищої освіти, тому обсяг програми підготовки має дорівнювати відповідному обсягу денної форми, але певні навчальні дисципліни (загальним обсягом, не більше встановленого в СВО обмеження) може бути </w:t>
      </w:r>
      <w:proofErr w:type="spellStart"/>
      <w:r>
        <w:rPr>
          <w:rFonts w:ascii="Times New Roman" w:eastAsia="Times New Roman" w:hAnsi="Times New Roman" w:cs="Times New Roman"/>
          <w:sz w:val="26"/>
          <w:szCs w:val="26"/>
        </w:rPr>
        <w:t>перезараховано</w:t>
      </w:r>
      <w:proofErr w:type="spellEnd"/>
      <w:r>
        <w:rPr>
          <w:rFonts w:ascii="Times New Roman" w:eastAsia="Times New Roman" w:hAnsi="Times New Roman" w:cs="Times New Roman"/>
          <w:sz w:val="26"/>
          <w:szCs w:val="26"/>
        </w:rPr>
        <w:t xml:space="preserve"> з додатка до диплома про попередню освіту. У разі скорочення терміну підготовки бакалавра розробляється окремий інтегрований навчальний план з відповідним терміном навчання. Необхідною умовою цього є проведення процедури </w:t>
      </w:r>
      <w:proofErr w:type="spellStart"/>
      <w:r>
        <w:rPr>
          <w:rFonts w:ascii="Times New Roman" w:eastAsia="Times New Roman" w:hAnsi="Times New Roman" w:cs="Times New Roman"/>
          <w:sz w:val="26"/>
          <w:szCs w:val="26"/>
        </w:rPr>
        <w:t>перезарахування</w:t>
      </w:r>
      <w:proofErr w:type="spellEnd"/>
      <w:r>
        <w:rPr>
          <w:rFonts w:ascii="Times New Roman" w:eastAsia="Times New Roman" w:hAnsi="Times New Roman" w:cs="Times New Roman"/>
          <w:sz w:val="26"/>
          <w:szCs w:val="26"/>
        </w:rPr>
        <w:t xml:space="preserve"> певних освітніх компонент, що проводиться у відповідності до </w:t>
      </w:r>
      <w:r>
        <w:rPr>
          <w:rFonts w:ascii="Times New Roman" w:eastAsia="Times New Roman" w:hAnsi="Times New Roman" w:cs="Times New Roman"/>
          <w:i/>
          <w:sz w:val="26"/>
          <w:szCs w:val="26"/>
        </w:rPr>
        <w:t xml:space="preserve">Положення про визнання в КПІ ім. Ігоря Сікорського результатів попереднього навчання. </w:t>
      </w:r>
    </w:p>
    <w:p w14:paraId="2F61FDE9" w14:textId="77777777" w:rsidR="009132D2" w:rsidRDefault="00000000">
      <w:pPr>
        <w:pBdr>
          <w:top w:val="nil"/>
          <w:left w:val="nil"/>
          <w:bottom w:val="nil"/>
          <w:right w:val="nil"/>
          <w:between w:val="nil"/>
        </w:pBd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Інтегровані навчальні плани можуть складатися і для здобувачів другої вищої освіти.</w:t>
      </w:r>
    </w:p>
    <w:sectPr w:rsidR="009132D2" w:rsidSect="003D78FB">
      <w:pgSz w:w="11909" w:h="16834"/>
      <w:pgMar w:top="566" w:right="832" w:bottom="1675" w:left="1440" w:header="435"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CA853" w14:textId="77777777" w:rsidR="00C84987" w:rsidRDefault="00C84987">
      <w:pPr>
        <w:spacing w:line="240" w:lineRule="auto"/>
      </w:pPr>
      <w:r>
        <w:separator/>
      </w:r>
    </w:p>
  </w:endnote>
  <w:endnote w:type="continuationSeparator" w:id="0">
    <w:p w14:paraId="4BD06099" w14:textId="77777777" w:rsidR="00C84987" w:rsidRDefault="00C84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D112D" w14:textId="77777777" w:rsidR="00C84987" w:rsidRDefault="00C84987">
      <w:pPr>
        <w:spacing w:line="240" w:lineRule="auto"/>
      </w:pPr>
      <w:r>
        <w:separator/>
      </w:r>
    </w:p>
  </w:footnote>
  <w:footnote w:type="continuationSeparator" w:id="0">
    <w:p w14:paraId="03FFA0B3" w14:textId="77777777" w:rsidR="00C84987" w:rsidRDefault="00C849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210A5"/>
    <w:multiLevelType w:val="multilevel"/>
    <w:tmpl w:val="8FBA3DBE"/>
    <w:lvl w:ilvl="0">
      <w:start w:val="1"/>
      <w:numFmt w:val="decimal"/>
      <w:lvlText w:val="%1."/>
      <w:lvlJc w:val="left"/>
      <w:pPr>
        <w:ind w:left="4320" w:hanging="360"/>
      </w:pPr>
      <w:rPr>
        <w:u w:val="none"/>
      </w:rPr>
    </w:lvl>
    <w:lvl w:ilvl="1">
      <w:start w:val="1"/>
      <w:numFmt w:val="lowerLetter"/>
      <w:lvlText w:val="%2."/>
      <w:lvlJc w:val="left"/>
      <w:pPr>
        <w:ind w:left="5040" w:hanging="360"/>
      </w:pPr>
      <w:rPr>
        <w:u w:val="none"/>
      </w:rPr>
    </w:lvl>
    <w:lvl w:ilvl="2">
      <w:start w:val="1"/>
      <w:numFmt w:val="lowerRoman"/>
      <w:lvlText w:val="%3."/>
      <w:lvlJc w:val="lef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lef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left"/>
      <w:pPr>
        <w:ind w:left="10080" w:hanging="360"/>
      </w:pPr>
      <w:rPr>
        <w:u w:val="none"/>
      </w:rPr>
    </w:lvl>
  </w:abstractNum>
  <w:abstractNum w:abstractNumId="1" w15:restartNumberingAfterBreak="0">
    <w:nsid w:val="44472B54"/>
    <w:multiLevelType w:val="multilevel"/>
    <w:tmpl w:val="F88A6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DD693F"/>
    <w:multiLevelType w:val="multilevel"/>
    <w:tmpl w:val="BECAF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C07987"/>
    <w:multiLevelType w:val="multilevel"/>
    <w:tmpl w:val="F04C3AAC"/>
    <w:lvl w:ilvl="0">
      <w:start w:val="1"/>
      <w:numFmt w:val="decimal"/>
      <w:lvlText w:val="%1."/>
      <w:lvlJc w:val="right"/>
      <w:pPr>
        <w:ind w:left="720" w:hanging="360"/>
      </w:pPr>
      <w:rPr>
        <w:rFonts w:ascii="Times New Roman" w:eastAsia="Times New Roman" w:hAnsi="Times New Roman" w:cs="Times New Roman"/>
        <w:b/>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num w:numId="1" w16cid:durableId="389964049">
    <w:abstractNumId w:val="3"/>
  </w:num>
  <w:num w:numId="2" w16cid:durableId="614757334">
    <w:abstractNumId w:val="2"/>
  </w:num>
  <w:num w:numId="3" w16cid:durableId="1201167285">
    <w:abstractNumId w:val="1"/>
  </w:num>
  <w:num w:numId="4" w16cid:durableId="178141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D2"/>
    <w:rsid w:val="001C6CFF"/>
    <w:rsid w:val="003D78FB"/>
    <w:rsid w:val="00411566"/>
    <w:rsid w:val="006E7D45"/>
    <w:rsid w:val="0076491F"/>
    <w:rsid w:val="00892168"/>
    <w:rsid w:val="009132D2"/>
    <w:rsid w:val="009B5F9A"/>
    <w:rsid w:val="00A14831"/>
    <w:rsid w:val="00C84987"/>
    <w:rsid w:val="00F7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DF34"/>
  <w15:docId w15:val="{18C648B1-5708-4759-BA0F-F928BCC2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after="80"/>
      <w:ind w:left="720" w:hanging="360"/>
      <w:jc w:val="both"/>
      <w:outlineLvl w:val="0"/>
    </w:pPr>
    <w:rPr>
      <w:rFonts w:ascii="Times New Roman" w:eastAsia="Times New Roman" w:hAnsi="Times New Roman" w:cs="Times New Roman"/>
      <w:b/>
      <w:sz w:val="28"/>
      <w:szCs w:val="28"/>
    </w:rPr>
  </w:style>
  <w:style w:type="paragraph" w:styleId="2">
    <w:name w:val="heading 2"/>
    <w:basedOn w:val="a"/>
    <w:next w:val="a"/>
    <w:uiPriority w:val="9"/>
    <w:unhideWhenUsed/>
    <w:qFormat/>
    <w:pPr>
      <w:keepNext/>
      <w:keepLines/>
      <w:ind w:left="992" w:hanging="141"/>
      <w:jc w:val="both"/>
      <w:outlineLvl w:val="1"/>
    </w:pPr>
    <w:rPr>
      <w:rFonts w:ascii="Times New Roman" w:eastAsia="Times New Roman" w:hAnsi="Times New Roman" w:cs="Times New Roman"/>
      <w:sz w:val="28"/>
      <w:szCs w:val="28"/>
    </w:rPr>
  </w:style>
  <w:style w:type="paragraph" w:styleId="3">
    <w:name w:val="heading 3"/>
    <w:basedOn w:val="a"/>
    <w:next w:val="a"/>
    <w:uiPriority w:val="9"/>
    <w:unhideWhenUsed/>
    <w:qFormat/>
    <w:pPr>
      <w:keepNext/>
      <w:keepLines/>
      <w:jc w:val="right"/>
      <w:outlineLvl w:val="2"/>
    </w:pPr>
    <w:rPr>
      <w:rFonts w:ascii="Times New Roman" w:eastAsia="Times New Roman" w:hAnsi="Times New Roman" w:cs="Times New Roman"/>
      <w:b/>
      <w:sz w:val="28"/>
      <w:szCs w:val="28"/>
    </w:rPr>
  </w:style>
  <w:style w:type="paragraph" w:styleId="4">
    <w:name w:val="heading 4"/>
    <w:basedOn w:val="a"/>
    <w:next w:val="a"/>
    <w:uiPriority w:val="9"/>
    <w:semiHidden/>
    <w:unhideWhenUsed/>
    <w:qFormat/>
    <w:pPr>
      <w:keepNext/>
      <w:keepLines/>
      <w:spacing w:line="240" w:lineRule="auto"/>
      <w:outlineLvl w:val="3"/>
    </w:pPr>
    <w:rPr>
      <w:rFonts w:ascii="Times New Roman" w:eastAsia="Times New Roman" w:hAnsi="Times New Roman" w:cs="Times New Roman"/>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jc w:val="right"/>
    </w:pPr>
    <w:rPr>
      <w:rFonts w:ascii="Times New Roman" w:eastAsia="Times New Roman" w:hAnsi="Times New Roman" w:cs="Times New Roman"/>
      <w:b/>
      <w:sz w:val="28"/>
      <w:szCs w:val="2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styleId="aff5">
    <w:name w:val="Table Grid"/>
    <w:basedOn w:val="a1"/>
    <w:uiPriority w:val="39"/>
    <w:rsid w:val="007649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таблиці"/>
    <w:basedOn w:val="a"/>
    <w:link w:val="aff7"/>
    <w:qFormat/>
    <w:rsid w:val="00892168"/>
    <w:pPr>
      <w:keepLines/>
      <w:spacing w:line="240" w:lineRule="auto"/>
      <w:jc w:val="center"/>
    </w:pPr>
    <w:rPr>
      <w:rFonts w:ascii="Times New Roman" w:eastAsia="Times New Roman" w:hAnsi="Times New Roman" w:cs="Times New Roman"/>
    </w:rPr>
  </w:style>
  <w:style w:type="character" w:customStyle="1" w:styleId="aff7">
    <w:name w:val="таблиці Знак"/>
    <w:basedOn w:val="a0"/>
    <w:link w:val="aff6"/>
    <w:rsid w:val="0089216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3380</Words>
  <Characters>19266</Characters>
  <Application>Microsoft Office Word</Application>
  <DocSecurity>0</DocSecurity>
  <Lines>160</Lines>
  <Paragraphs>45</Paragraphs>
  <ScaleCrop>false</ScaleCrop>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Желяскова</cp:lastModifiedBy>
  <cp:revision>3</cp:revision>
  <dcterms:created xsi:type="dcterms:W3CDTF">2025-04-25T10:18:00Z</dcterms:created>
  <dcterms:modified xsi:type="dcterms:W3CDTF">2025-04-25T10:23:00Z</dcterms:modified>
</cp:coreProperties>
</file>