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4508" w14:textId="1C0F9EE8" w:rsidR="006434E9" w:rsidRPr="00D46546" w:rsidRDefault="006434E9" w:rsidP="006434E9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 до наказу «</w:t>
      </w:r>
      <w:r w:rsidR="0023239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затвердження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визнання в КПІ ім. Ігоря Сікорського результатів формальної освіти»</w:t>
      </w:r>
    </w:p>
    <w:p w14:paraId="1222F9EF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2DAF7E0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564331B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0094768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2F054E41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997D59F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0EB35F0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A8117B8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577DE62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129B4F10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B34DD38" w14:textId="77777777" w:rsidR="006434E9" w:rsidRPr="00D46546" w:rsidRDefault="006434E9" w:rsidP="006434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6617A753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ПОЛОЖЕННЯ ПРО ВИЗНАННЯ</w:t>
      </w:r>
    </w:p>
    <w:p w14:paraId="347B1044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КПІ ІМ. ІГОРЯ СІКОРСЬКОГО РЕЗУЛЬТАТІВ</w:t>
      </w:r>
    </w:p>
    <w:p w14:paraId="702BD6DE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ФОРМАЛЬНОЇ ОСВІТИ </w:t>
      </w:r>
    </w:p>
    <w:p w14:paraId="5CDEFE81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71D67E71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4CBD9E40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216CD7FE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</w:t>
      </w:r>
    </w:p>
    <w:p w14:paraId="67A6DD79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078B5FA0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08E0297C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1AA441E8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2A811C2D" w14:textId="1A849DDA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14:paraId="6CA876A8" w14:textId="15DCE94B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6EEA934" w14:textId="1CDE0A42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D3C3BB4" w14:textId="5ACB24EE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E54B5AC" w14:textId="52CA60F3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8F61F79" w14:textId="55222C96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B156936" w14:textId="1F71F39E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19BB44F" w14:textId="7D613893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5C4659A" w14:textId="2A7A84B6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94203B3" w14:textId="3494ABBE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68D56F7" w14:textId="374E0B63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8179DA5" w14:textId="4D07A41F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84C7559" w14:textId="283EC09C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A6FDC18" w14:textId="005B39C6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6C4051F" w14:textId="77777777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22BB59" w14:textId="690545D6" w:rsidR="006434E9" w:rsidRPr="00D46546" w:rsidRDefault="006434E9" w:rsidP="00643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2025</w:t>
      </w:r>
    </w:p>
    <w:p w14:paraId="6D7A065E" w14:textId="0B706801" w:rsidR="006434E9" w:rsidRPr="00D46546" w:rsidRDefault="006434E9" w:rsidP="00897839">
      <w:pPr>
        <w:pStyle w:val="a5"/>
        <w:numPr>
          <w:ilvl w:val="0"/>
          <w:numId w:val="4"/>
        </w:numPr>
        <w:spacing w:after="12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ЗАГАЛЬНІ ПОЛОЖЕННЯ</w:t>
      </w:r>
    </w:p>
    <w:p w14:paraId="7D533776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1.1.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Положення про визнання в КПІ ім. Ігоря Сікорського результатів формальної освіти (далі – Положення) визначає процедуру визнання результатів формальної освіти та встановлення здатності особи виконувати освітню програму в КПІ ім. Ігоря Сікорського (далі – Університет).</w:t>
      </w:r>
    </w:p>
    <w:p w14:paraId="7C8398AF" w14:textId="2BC2A7DF" w:rsidR="006434E9" w:rsidRPr="00D46546" w:rsidRDefault="006434E9" w:rsidP="006434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1.2. Це Положення укладено на основі Закону України «Про вищу освіту», Закону України «Про освіту», Положення про порядок відрахування, переривання навчання, поновлення і переведення осіб, які навчаються у закладах вищої освіти, та надання їм академічної відпустки</w:t>
      </w:r>
      <w:r w:rsidR="00DD7D4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</w:t>
      </w:r>
      <w:r w:rsidR="00DD7D4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наказом МОН №</w:t>
      </w:r>
      <w:r w:rsidR="00DD7D4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134 від 07.02.2024, нормативних документів, що стосуються впровадження Європейської кредитно-трансферної системи, нормативної бази Університету та інших нормативно-правових документів з питань вищої освіти та є складовою частиною Положення про організацію освітнього процесу в КПІ</w:t>
      </w:r>
      <w:r w:rsidR="00DD7D4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ім. Ігоря Сікорського.</w:t>
      </w:r>
    </w:p>
    <w:p w14:paraId="5F85644A" w14:textId="4476B02C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1.3. Визнання результатів формальної освіти та встановлення обсягу незарахованих освітніх компонентів навчального плану попередніх періодів навчання, аналіз виконання вимог до вступників на освітню програму</w:t>
      </w:r>
      <w:r w:rsidR="00726D9D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оцінювання здатності особи успішно виконати цю освітню програму здійснюється Комісією </w:t>
      </w:r>
      <w:r w:rsidR="00082F17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визнання результатів навчання (далі - Комісія з визнання) </w:t>
      </w:r>
      <w:r w:rsidR="009C185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структурного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підрозділу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 є обов’язков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ими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здійснення процедур поновлення, переведення, поновлення на навчання після академічної відпустки та інших варіантів зміни освітньої траєкторії.</w:t>
      </w:r>
    </w:p>
    <w:p w14:paraId="1B654852" w14:textId="7AC86C5F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1.4. Склад Комісії</w:t>
      </w:r>
      <w:r w:rsidR="009C185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визнання</w:t>
      </w:r>
      <w:r w:rsidR="00082F17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затверджується наказом ректора за поданням декана факультету / директора навчально-наукового інституту. </w:t>
      </w:r>
    </w:p>
    <w:p w14:paraId="179438AD" w14:textId="77777777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Комісія з визнання у складі Голови та трьох членів, як правило, створюється для освітніх програм кожної випускової кафедри.</w:t>
      </w:r>
    </w:p>
    <w:p w14:paraId="2C4EF1E2" w14:textId="6D508256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складу </w:t>
      </w:r>
      <w:r w:rsidR="00BB222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визнання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включаються особи, відповідальні за формування навчальних та робочих навчальних планів та за методичну роботу. За необхідності, до роботи </w:t>
      </w:r>
      <w:r w:rsidR="00BB222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визнання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залучаються інші науково-педагогічні (педагогічні) працівники та представники органів студентського самоврядування (за згодою).</w:t>
      </w:r>
    </w:p>
    <w:p w14:paraId="1A2F1704" w14:textId="7F995FA7" w:rsidR="00744674" w:rsidRPr="00D46546" w:rsidRDefault="00744674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1.6. Підставою </w:t>
      </w:r>
      <w:bookmarkStart w:id="0" w:name="_Hlk205212793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організації засідання Комісії </w:t>
      </w:r>
      <w:bookmarkEnd w:id="0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визнання є заява особи </w:t>
      </w:r>
      <w:r w:rsidR="00BB30CE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(додаток А до цього Положення) </w:t>
      </w:r>
      <w:r w:rsidR="00DD7D4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резолюцією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декана факультету / директора навчально-наукового інституту, до якої додаються документи, вказані в п</w:t>
      </w:r>
      <w:r w:rsidR="00694E2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.2.2</w:t>
      </w:r>
      <w:r w:rsidR="00694E2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3.2,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4.1 цього Положення.</w:t>
      </w:r>
    </w:p>
    <w:p w14:paraId="6BA224F2" w14:textId="38FE051A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основі рішень, прийнятих Комісією з визнання, </w:t>
      </w:r>
      <w:r w:rsidR="004943A1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деканат факультету – навчально-наукового інституту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інформу</w:t>
      </w:r>
      <w:r w:rsidR="004943A1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заявника</w:t>
      </w:r>
      <w:r w:rsidR="00694E2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умови його поновлення / переведення  або про факт відмови 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поновленні / переведенні.</w:t>
      </w:r>
    </w:p>
    <w:p w14:paraId="46703A72" w14:textId="67728582" w:rsidR="006434E9" w:rsidRPr="00D46546" w:rsidRDefault="006434E9" w:rsidP="006434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89783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Положення та зміни до нього вводяться в дію наказом ректора Університету.</w:t>
      </w:r>
    </w:p>
    <w:p w14:paraId="5A7EFBDB" w14:textId="6E631591" w:rsidR="006434E9" w:rsidRPr="00D46546" w:rsidRDefault="006434E9" w:rsidP="00897839">
      <w:pPr>
        <w:pStyle w:val="a5"/>
        <w:numPr>
          <w:ilvl w:val="0"/>
          <w:numId w:val="4"/>
        </w:numPr>
        <w:spacing w:before="120" w:after="12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ВИЗНАННЯ РЕЗУЛЬТАТІВ ФОРМАЛЬНОЇ ОСВІТИ</w:t>
      </w:r>
    </w:p>
    <w:p w14:paraId="5490F598" w14:textId="274B9F1A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Визнання результатів формальної освіти, зарахування відповідних кредитів Європейської кредитно-трансферної системи (далі – ЄКТС) та встановлення обсягу незарахованих освітніх компонентів навчального плану 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певною освітньою програмою (далі – академічна різниця)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у випадках:</w:t>
      </w:r>
    </w:p>
    <w:p w14:paraId="582ABDC8" w14:textId="4B2049EB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переведення, поновлення, </w:t>
      </w:r>
      <w:r w:rsidR="006A5B2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поновлення на навчання після академічної відпустки,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 в програмах академічної мобільності;</w:t>
      </w:r>
    </w:p>
    <w:p w14:paraId="7ABF7B44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  здобуття освіти за певним освітнім рівнем на основі попередньо здобутого освітнього рівня (переважно на основі фахової передвищої освіти);</w:t>
      </w:r>
    </w:p>
    <w:p w14:paraId="31A17FD0" w14:textId="77777777" w:rsidR="0038087D" w:rsidRPr="00D46546" w:rsidRDefault="006434E9" w:rsidP="000F7033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  одночасного навчання за двома освітніми програмами</w:t>
      </w:r>
      <w:r w:rsidR="0038087D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84708FD" w14:textId="23E39096" w:rsidR="006434E9" w:rsidRPr="00D46546" w:rsidRDefault="0038087D" w:rsidP="000F7033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повторно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11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певному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</w:t>
      </w:r>
      <w:r w:rsidR="001911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(</w:t>
      </w:r>
      <w:r w:rsidR="000F703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повторний вступ на 1 курс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осіб, що не завершили навчання за цим рівнем освіти,</w:t>
      </w:r>
      <w:r w:rsidR="000F703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другої вищої освіти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тим самим рівнем освіти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F703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849E3A" w14:textId="29F12DBC" w:rsidR="004165BD" w:rsidRPr="00D46546" w:rsidRDefault="004165BD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Визнання результатів академічної мобільності та вимоги до </w:t>
      </w:r>
      <w:r w:rsidR="00694E2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документального супроводу визначаються Положенням про академічну мобільність КПІ ім. Ігоря Сікорського.</w:t>
      </w:r>
    </w:p>
    <w:p w14:paraId="24744C3F" w14:textId="546BADB4" w:rsidR="00694E24" w:rsidRPr="00D46546" w:rsidRDefault="00694E24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</w:t>
      </w:r>
      <w:r w:rsidR="008864D7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здобувачів вищої освіти, зарахованих на навчання на основі попередньо здобутого освітнього рівня, о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бсяг </w:t>
      </w:r>
      <w:r w:rsidR="006A5B2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визнаних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освітніх компонентів, повинен бути достатнім для виконання освітньої програми в повному обсязі протягом скороченого терміну навчання.</w:t>
      </w:r>
    </w:p>
    <w:p w14:paraId="41F3B12D" w14:textId="3C8DDFB0" w:rsidR="006A5B26" w:rsidRPr="00D46546" w:rsidRDefault="006A5B26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2.4. У випадку, якщо здобувач вищої освіти (далі – здобувач), який зарахований на навчання за двома освітніми програмами</w:t>
      </w:r>
      <w:r w:rsidR="00661121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одного рівня освіти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бажає здійснити визнання результатів навчання з освітніх компонентів однієї освітньої програми в межах іншої освітньої програми, визнання здійснюється по завершенню заходів семестрового контролю з урахуванням термінів їх проведення за обома освітніми програмами</w:t>
      </w:r>
      <w:r w:rsidR="00BF2A3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96CA74" w14:textId="09DE65FE" w:rsidR="00BF2A32" w:rsidRPr="00D46546" w:rsidRDefault="00BF2A32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необхідності, кінцеві дати визнання результатів навчання фіксуються в індивідуальному навчальному плані (далі – ІНП) здобув</w:t>
      </w:r>
      <w:r w:rsidR="00690F5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ча, виходячи з графіків навчального процесу за обома освітніми програмами</w:t>
      </w:r>
      <w:r w:rsidR="000441B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(якщо освітні компонен</w:t>
      </w:r>
      <w:r w:rsidR="0004372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обох освітніх програм вивчаються в одному семестрі</w:t>
      </w:r>
      <w:r w:rsidR="000441B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ECEEB3" w14:textId="79F5E2DC" w:rsidR="00BF2A32" w:rsidRPr="00D46546" w:rsidRDefault="00BF2A32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здобувачем за результатами семестрового контролю та ліквідації академічної заборгованості оцінки, нижчої за мінімально позитивну оцінку в Університеті, з освітніх компонентів, результати яких підлягали визнанню, вважається невиконанням ІНП за обома освітніми програмами.</w:t>
      </w:r>
    </w:p>
    <w:p w14:paraId="0830CC59" w14:textId="0F5CFD35" w:rsidR="006434E9" w:rsidRPr="00D46546" w:rsidRDefault="008864D7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0F703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F703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Підставою д</w:t>
      </w:r>
      <w:r w:rsidR="007446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визнання результатів 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формальної освіти </w:t>
      </w:r>
      <w:r w:rsidR="000F703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наступні документи, які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додаються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703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заяви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31C1E2A" w14:textId="626E9F4E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академічна довідка, видана українським закладом вищої освіти, або аналогічний документ, виданий іноземним закладом освіти та визнаний в Україні, згідно чинних процедур визнання іноземних документів про освіту  -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 поновленні до Університету після відрахування, при переведенні до Університету зі збереженням місця державного замовлення та при зарахуванні на 1 курс</w:t>
      </w:r>
      <w:r w:rsidR="007E639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які не завершили навчання за певним рівнем освіти і знову зараховані на навчання за цим же рівнем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8BE150F" w14:textId="6B8353CE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додаток до документа про освіту, виданого акредитованим закладом вищої освіти України - у випадку зарахування до Університету на основі попередньо здобутого освітнього рівня (переважно на основі фахової передвищої освіти) або у випадку повторного навчання за вже здобутим рівнем освіти</w:t>
      </w:r>
      <w:r w:rsidR="007E639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(друга вища освіта)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F3ADE8E" w14:textId="7A7DBF41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копія (витяг) з навчальної картки - при переведенні здобувачів в межах Університету</w:t>
      </w:r>
      <w:r w:rsidR="007E639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поновленні на навчання після академічної відпустки або при одночасному навчанні за двома освітніми програмами</w:t>
      </w:r>
      <w:r w:rsidR="004165BD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D285EE" w14:textId="27C6FD91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89783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Визнання результатів та зарахування обов'язкових освітніх компонентів </w:t>
      </w:r>
      <w:r w:rsidR="0089783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ІНП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bookmarkStart w:id="1" w:name="_Hlk204939140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індивідуального плану наукової роботи</w:t>
      </w:r>
      <w:r w:rsidR="00EC4C75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їх складників </w:t>
      </w:r>
      <w:bookmarkEnd w:id="1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відповідно до цього Положення, за умови, що під час попередніх періодів навчання особа здобула передбачені освітньою програмою або аналогічні результати навчання. </w:t>
      </w:r>
    </w:p>
    <w:p w14:paraId="5168BB13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вибіркові можуть бути зараховані освітні компоненти попереднього навчання, що не можуть бути зараховані як обов'язкові.</w:t>
      </w:r>
    </w:p>
    <w:p w14:paraId="098555B7" w14:textId="50B01781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89783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Академічна різниця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визначається в обсязі семестрів, що передують семестру, на навчання в якому поновлюється / переводиться особа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 день поновлення / день допуску до занять при переведенні не може перевищувати 20 кредитів ЄКТС.</w:t>
      </w:r>
    </w:p>
    <w:p w14:paraId="4014DC98" w14:textId="77777777" w:rsidR="006434E9" w:rsidRPr="00D46546" w:rsidRDefault="006434E9" w:rsidP="0089783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3. ОЦІНЮВАННЯ ЗДАТНОСТІ ОСОБИ ВИКОНУВАТИ ОСВІТНЮ ПРОГРАМУ</w:t>
      </w:r>
    </w:p>
    <w:p w14:paraId="7B5F7B12" w14:textId="77777777" w:rsidR="006434E9" w:rsidRPr="00D46546" w:rsidRDefault="006434E9" w:rsidP="006434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3.1. Оцінювання здатності особи виконувати освітню програму здійснюється на етапі:</w:t>
      </w:r>
    </w:p>
    <w:p w14:paraId="19016929" w14:textId="7143299E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поновлення особи після відрахування / академічної відпустки; </w:t>
      </w:r>
    </w:p>
    <w:p w14:paraId="662C1B0A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переведення в межах Університету з однієї освітньої програми на іншу;</w:t>
      </w:r>
    </w:p>
    <w:p w14:paraId="451643F8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переведення до Університету з інших закладів вищої освіти зі збереженням місця державного замовлення;</w:t>
      </w:r>
    </w:p>
    <w:p w14:paraId="023A6C2C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- зміни форми здобуття освіти в Університеті.</w:t>
      </w:r>
    </w:p>
    <w:p w14:paraId="165476C1" w14:textId="4B723156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3.2. Для прийняття рішення щодо позитивної / негативної оцінки здатності особи успішно виконувати зазначену у заяві про поновлення / переведення освітню програму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Комісія з визнання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розглядає інформацію про траєкторію навчання, зокрема щодо попередніх відрахувань, поновлень на навчання та переведень, наявну в базах даних Університету чи отриману від особи за запитом комісії.</w:t>
      </w:r>
    </w:p>
    <w:p w14:paraId="415C8862" w14:textId="40F9CFA1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 xml:space="preserve">3.3.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Комісія з визнання 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проводить співбесіду з 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особою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 метою визначення рівня володіння н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ею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основним понятійним матеріалом освітньої програми, причин поновлення / переведення на дану освітню програму тощо.</w:t>
      </w:r>
    </w:p>
    <w:p w14:paraId="15E8DFE9" w14:textId="4A9F28D5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Позитивна оцінка здатності особи виконувати відповідну освітню програму, є підставою для продовження особою процесу поновлення / переведення на таку освітню програму, а негативна оцінка - підставою для відмови особі в поновленні / переведенні.</w:t>
      </w:r>
    </w:p>
    <w:p w14:paraId="21E2ABFD" w14:textId="0E715664" w:rsidR="006434E9" w:rsidRPr="00D46546" w:rsidRDefault="006434E9" w:rsidP="00897839">
      <w:pPr>
        <w:spacing w:before="120" w:after="120" w:line="276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4. ПІДТВЕРДЖЕННЯ ВИМОГ ДО ВСТУПНИКІВ</w:t>
      </w:r>
    </w:p>
    <w:p w14:paraId="0FECC12F" w14:textId="11CD46E3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4.1. Для підтвердження особою, що поновлюється / переводиться, вимог до вступників на відповідну освітню програму до заяви нею додаються документи (або їх копії), що були підставою для її зарахування на навчання у попередні періоди – сертифікати та результати зовнішнього незалежного оцінювання, національного мультипредметного тесту, творчих конкурсів та заліків, вступних іспитів, єдиного фахового вступного випробування, єдиного вступного іспиту, єдиного державного кваліфікаційного іспиту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співбесіди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4C75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вказаними значеннями кількості балів вступних випробувань.</w:t>
      </w:r>
    </w:p>
    <w:p w14:paraId="08BBEB5D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Виконання вимог до вступників на відповідну освітню програму особою, яка подала заяву про поновлення на навчання, про переведення до Університету зі збереженням місця державного замовлення або про переведення в межах Університету, може здійснюватися:</w:t>
      </w:r>
    </w:p>
    <w:p w14:paraId="2C41069C" w14:textId="77777777" w:rsidR="006434E9" w:rsidRPr="00D46546" w:rsidRDefault="006434E9" w:rsidP="006434E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поновлення / переведення на навчання за певною освітньою програмою;</w:t>
      </w:r>
    </w:p>
    <w:p w14:paraId="55A74E83" w14:textId="27C49185" w:rsidR="006434E9" w:rsidRPr="00D46546" w:rsidRDefault="006434E9" w:rsidP="006434E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пізніше дати допуску 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атестації. Як правило, це для бакалаврів 4 року навчання - до 01 червня; для магістрів 2 року навчання, що навчаються за освітньо-професійною програмою - до 01 грудня; для магістрів 2 року навчання, що навчаються за освітньо-науковою програмою - до 01 травня. </w:t>
      </w:r>
    </w:p>
    <w:p w14:paraId="0E7BC824" w14:textId="0E829253" w:rsidR="006434E9" w:rsidRPr="00D46546" w:rsidRDefault="006434E9" w:rsidP="0025183F">
      <w:pPr>
        <w:shd w:val="clear" w:color="auto" w:fill="FFFFFF"/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невиконання цієї вимоги у встановлений строк, здобувач відраховується за порушення умов договору про навчання між закладом вищої освіти та вступником, укладено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частини шістнадцятої статті 44 Закону України «Про вищу освіту», і не допускається до атестації.</w:t>
      </w:r>
    </w:p>
    <w:p w14:paraId="1BA0E7CD" w14:textId="786DB732" w:rsidR="006434E9" w:rsidRPr="00D46546" w:rsidRDefault="006434E9" w:rsidP="00897839">
      <w:pPr>
        <w:spacing w:before="120" w:after="120" w:line="276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ОРГАНІЗАЦІЯ РОБОТИ КОМІСІЇ З ВИЗНАННЯ </w:t>
      </w:r>
    </w:p>
    <w:p w14:paraId="438539BF" w14:textId="634AF679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41638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Повноваження Комісії з визнання включають:</w:t>
      </w:r>
    </w:p>
    <w:p w14:paraId="71256482" w14:textId="77777777" w:rsidR="0089783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аналіз результатів попередніх періодів навчання, відображених в документах</w:t>
      </w:r>
      <w:r w:rsidR="0089783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82CC8D7" w14:textId="2C64F832" w:rsidR="006434E9" w:rsidRPr="00D46546" w:rsidRDefault="0089783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встановлення відповідності отриманих результатів навчання та результатів навчання освітніх компонентів програми, на яку зарахована / поновлюється / переводиться особа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обсягу академічної різниці;</w:t>
      </w:r>
    </w:p>
    <w:p w14:paraId="433C8648" w14:textId="286F1C5A" w:rsidR="00E21B0D" w:rsidRPr="00D46546" w:rsidRDefault="00E21B0D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визначення обсягу зарахованих в Університеті кредитів попередньо вивчених освітніх компонентів;</w:t>
      </w:r>
    </w:p>
    <w:p w14:paraId="39218AF7" w14:textId="77777777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встановлення факту виконання / невиконання особою вимог до вступників на конкретну освітню програму;</w:t>
      </w:r>
    </w:p>
    <w:p w14:paraId="56DCFBAC" w14:textId="3757CE81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оцінювання здатності особи успішно виконувати освітню програму</w:t>
      </w:r>
      <w:r w:rsidR="0089783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яку вона поновлюється / переводиться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AFDC6F" w14:textId="21CAEBA1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6145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Комісія з визнання розглядає заяву особи та приймає рішення по ній в термін: </w:t>
      </w:r>
    </w:p>
    <w:p w14:paraId="53A87E31" w14:textId="2D21AA92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до 10 робочих днів з  дати </w:t>
      </w:r>
      <w:r w:rsidR="00EC4C75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проставлення на заяві резолюції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деканом / директором </w:t>
      </w:r>
      <w:r w:rsidR="00EC4C75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загальному випадку;</w:t>
      </w:r>
    </w:p>
    <w:p w14:paraId="01FDFEFD" w14:textId="426EBBA6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впродовж 1 дня з дати </w:t>
      </w:r>
      <w:r w:rsidR="00EC4C75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проставлення на заяві резолюції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деканом / директором </w:t>
      </w:r>
      <w:r w:rsidR="00EC4C75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у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випадку визнання результатів в межах реалізації </w:t>
      </w:r>
      <w:r w:rsidR="007A187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процедури відшкодування коштів за попереднє навчання за кошти державного</w:t>
      </w:r>
      <w:r w:rsidR="0089783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87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C026E3" w:rsidRPr="00D465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026E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у випадку одночасного навчання здобувача за двома освітніми програмами одного рівня вищої освіти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14:paraId="082BD394" w14:textId="215CCA91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6145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 Рішення Комісії з визнання оформлю</w:t>
      </w:r>
      <w:r w:rsidR="00EC4C75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Протоколом</w:t>
      </w:r>
      <w:r w:rsidR="00D4654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7A0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засідання Комісії з визнання </w:t>
      </w:r>
      <w:r w:rsidR="006F619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(додаток </w:t>
      </w:r>
      <w:r w:rsidR="00BB30CE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F619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цього Положення)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14:paraId="146099EE" w14:textId="2FF897BD" w:rsidR="006434E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6145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Протокол </w:t>
      </w:r>
      <w:r w:rsidR="00FB7A0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засідання Комісії з визнання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- Протокол визнання) передається Комісією з визнання до деканату </w:t>
      </w:r>
      <w:r w:rsidR="00842B0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факультету / навчально-наукового інституту</w:t>
      </w:r>
      <w:r w:rsidR="00A2603D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додається до навчальної картки особи після її </w:t>
      </w:r>
      <w:r w:rsidR="0061457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/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поновлення / переведення.</w:t>
      </w:r>
      <w:r w:rsidR="00A2603D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22D30613" w14:textId="77777777" w:rsidR="006434E9" w:rsidRPr="00D46546" w:rsidRDefault="006434E9" w:rsidP="00BB30CE">
      <w:pPr>
        <w:spacing w:before="120" w:after="12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ОФОРМЛЕННЯ ПРОТОКОЛУ ЗАСІДАННЯ КОМІСІЇ З ВИЗНАННЯ</w:t>
      </w:r>
    </w:p>
    <w:p w14:paraId="68912A17" w14:textId="187D0186" w:rsidR="00FB15C9" w:rsidRPr="00D46546" w:rsidRDefault="006434E9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6.1</w:t>
      </w:r>
      <w:r w:rsidR="00FB15C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5C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Протоколі визнання відображається результат роботи Комісії з визнання </w:t>
      </w:r>
      <w:r w:rsidR="00842B0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</w:t>
      </w:r>
      <w:r w:rsidR="00FB15C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 заяви та документів конкретної особи.</w:t>
      </w:r>
    </w:p>
    <w:p w14:paraId="55E05927" w14:textId="59844598" w:rsidR="002E5DEF" w:rsidRPr="00D46546" w:rsidRDefault="00FB15C9" w:rsidP="000301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6.2.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Визнані результати попереднього навчання відображаються в  Протоколі визнання в форматі таблиці, яка встановлює відповідність  між освітніми компонентами програми, на яку зарахована / поновлюється / переводиться особа</w:t>
      </w:r>
      <w:r w:rsidR="006F619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842B0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стовпці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2-3 </w:t>
      </w:r>
      <w:r w:rsidR="00842B0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таблиці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Протоколі визнання, див. додаток </w:t>
      </w:r>
      <w:r w:rsidR="00BB30CE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Положення)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компонент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попередніх періодів навчання</w:t>
      </w:r>
      <w:r w:rsidR="00BB30CE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(4-6 </w:t>
      </w:r>
      <w:r w:rsidR="00842B0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стовпці таблиці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Протоколі визнання)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C2C424F" w14:textId="1C0FDCE8" w:rsidR="002E5DEF" w:rsidRPr="00D46546" w:rsidRDefault="00BB30CE" w:rsidP="000301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поновленні / переведенні в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таблиці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вказуються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всі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 компоненти програми, на яку поновлюється / переводиться особа за всі семестри, що передують семестру, з якого вона буде починати навчання за цією освітньою програмою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відповідні їм раніше вивчені освітні компоненти, результати яких визнано і в межах яких досягнуті передбачені освітньою програмою або аналогічні результати навчання.</w:t>
      </w:r>
    </w:p>
    <w:p w14:paraId="1401ED33" w14:textId="0A693D1D" w:rsidR="00BB30CE" w:rsidRPr="00D46546" w:rsidRDefault="00BB30CE" w:rsidP="000301C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визнанні результатів, отриманих в рамках фахової передвищої освіти,</w:t>
      </w:r>
      <w:r w:rsidR="008526FD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навчанні за двома освітніми програмами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26FD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при повторному вступі на перший курс,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таблиці вказуються тільки ті компоненти освітньої програми, для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яких встановлено відповідність з попередньо вивченими освітніми компонентами.</w:t>
      </w:r>
    </w:p>
    <w:p w14:paraId="4BA61070" w14:textId="3CD1887B" w:rsidR="000301CD" w:rsidRPr="00D46546" w:rsidRDefault="006434E9" w:rsidP="000301CD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</w:t>
      </w:r>
      <w:r w:rsidR="00FB15C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Комісія з визнання може прийняти рішення “визнано”</w:t>
      </w:r>
      <w:r w:rsidR="009C6EB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9C6EB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умовно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визнано”</w:t>
      </w:r>
      <w:r w:rsidR="009C6EB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відносно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наявних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результатів</w:t>
      </w:r>
      <w:r w:rsidR="00FB15C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301CD" w:rsidRPr="00D46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</w:p>
    <w:p w14:paraId="431BFAFA" w14:textId="58759E8A" w:rsidR="000301CD" w:rsidRPr="00D46546" w:rsidRDefault="000301CD" w:rsidP="00BB30CE">
      <w:pPr>
        <w:spacing w:before="120" w:after="120" w:line="276" w:lineRule="auto"/>
        <w:ind w:firstLine="69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Визначення академічної різниці</w:t>
      </w:r>
      <w:r w:rsidR="002F237F" w:rsidRPr="00D46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та обсягу зарахованих кредитів</w:t>
      </w:r>
    </w:p>
    <w:p w14:paraId="0B5991B1" w14:textId="600AF146" w:rsidR="006434E9" w:rsidRPr="00D46546" w:rsidRDefault="002E5DEF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6.3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Комісія з визнання приймає рішення «</w:t>
      </w:r>
      <w:r w:rsidR="006434E9" w:rsidRPr="00D46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ВИЗНАНО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щодо результатів попередніх періодів навчання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встановлює відповідність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освітніми компонентами освітньої програми, на яку зарахована / поновлюється / переводиться особа (далі – ОК освітньої програми), та раніше вивченими освітніми компонентами для наступних випадків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0636F1CB" w14:textId="572DE196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одного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ОК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освітньої програми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обсяг кредитів ЄКТС </w:t>
      </w:r>
      <w:r w:rsidR="002E5DE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співпадає 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назвою </w:t>
      </w:r>
      <w:r w:rsidR="008E03C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обсягом кредитів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одного 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раніше вивченого ОК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338780D" w14:textId="61EFC183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одного ОК освітньої програми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якого є змістовно подібною, а обсяг  кредитів ЄКТС повністю співпадає або є меншим за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</w:t>
      </w:r>
      <w:r w:rsidR="002F237F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одного 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раніше вивченого ОК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14:paraId="7CBC7367" w14:textId="5A0F2C7D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одного ОК освітньої програми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назва якого є змістовно подібною до назв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декількох раніше вивчених </w:t>
      </w:r>
      <w:r w:rsidR="000301CD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ОК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сумарна кількість кредитів ЄКТС з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не меншою за кількість кредитів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ОК освітньої програми</w:t>
      </w:r>
      <w:r w:rsidR="00440CB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8FE9877" w14:textId="1F03986C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декількох ОК освітньої програми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 змістовно подібні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назви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одного раніше вивченого ОК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кількість кредитів </w:t>
      </w:r>
      <w:r w:rsidR="002D67B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r w:rsidR="008E03C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меншою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сумарну кількість кредитів 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ОК освітньої програми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172DBF" w14:textId="674D654C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вибіркових ОК освітньої програми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наявні результати навчання з 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мають аналогів з ОК освітньої програми, але мають обсяг кредитів ЄКТС, що відповідає обсягу її вибіркових ОК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1D37A8" w14:textId="67FB1E3B" w:rsidR="006434E9" w:rsidRPr="00D46546" w:rsidRDefault="00A600F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6.4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Комісія з визнання приймає рішення </w:t>
      </w:r>
      <w:r w:rsidR="006434E9" w:rsidRPr="00D46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“УМОВНО ВИЗНАНО”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встановлює відповідність між двома ОК,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межах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 вивченого ОК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переважно досягнуті передбачені освітньою програмою або аналогічні результати навчання, і обсяг кредитів ЄКТС цього ОК є не меншим за 80% від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обсягу кредитів змістовно подібного ОК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  </w:t>
      </w:r>
    </w:p>
    <w:p w14:paraId="09ED0C10" w14:textId="22510E83" w:rsidR="006434E9" w:rsidRPr="00D46546" w:rsidRDefault="006434E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цьому випадку, в Протоколі визнання 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прописується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</w:t>
      </w:r>
      <w:r w:rsidR="00A600F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зарахування такого </w:t>
      </w:r>
      <w:r w:rsidR="008E03C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визначенням додаткового випробування (тест, завдання, співбесіда, тощо). Для проведення таких випробувань </w:t>
      </w:r>
      <w:r w:rsidR="003F52E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омісія </w:t>
      </w:r>
      <w:r w:rsidR="003F52E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визнання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залучати до засідання інших науково-педагогічних (педагогічних) працівників.</w:t>
      </w:r>
      <w:r w:rsidR="009C6EB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Результати випробувань та факт зарахування кредитів і визначення оцінки з ОК має бути також відображено в протоколі.</w:t>
      </w:r>
    </w:p>
    <w:p w14:paraId="1B53DC85" w14:textId="0C4DFBAC" w:rsidR="009C6EB6" w:rsidRPr="00D46546" w:rsidRDefault="009C6EB6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 ОК не включаються до обсягу академічної різниці, якщо умови їх зарахування виконані в межах засідання Комісії з визнання.</w:t>
      </w:r>
    </w:p>
    <w:p w14:paraId="65F48818" w14:textId="4C4E35C0" w:rsidR="006434E9" w:rsidRPr="00D46546" w:rsidRDefault="009C6EB6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6.5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для ОК освітньої програми</w:t>
      </w:r>
      <w:r w:rsidR="008E03C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неможливо встановити відповідність з жодним із раніше вивчених ОК, то для таких ОК</w:t>
      </w:r>
      <w:r w:rsidR="008E03C6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освітньої програми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Протоколі визнання </w:t>
      </w:r>
      <w:r w:rsidR="003F52E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робиться запис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«академічна різниця» (колонка 7 протоколу, див. додаток </w:t>
      </w:r>
      <w:r w:rsidR="00BB30CE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цього Положення)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B32B24" w14:textId="03F15140" w:rsidR="009C6EB6" w:rsidRPr="00D46546" w:rsidRDefault="009C6EB6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Сумарна кількість кредитів таких ОК формує загальний обсяг академічної різниці в межах терміну навчання, що розглядався</w:t>
      </w:r>
      <w:r w:rsidR="003F52E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Комісією з визнання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352256" w14:textId="2B1E0CB9" w:rsidR="009C6EB6" w:rsidRPr="00D46546" w:rsidRDefault="009C6EB6" w:rsidP="00CF51FD">
      <w:pPr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6.6. Раніше вивчені ОК, результати з яких не визнані, і для яких не встановлено відповідність з ОК освітньої програми</w:t>
      </w:r>
      <w:r w:rsidR="00BE3A4E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Протоколу визнання не заносяться.</w:t>
      </w:r>
    </w:p>
    <w:p w14:paraId="7FC92F46" w14:textId="7FA82E83" w:rsidR="00BE3A4E" w:rsidRPr="00D46546" w:rsidRDefault="00CF51FD" w:rsidP="00CF51FD">
      <w:pPr>
        <w:pStyle w:val="a3"/>
        <w:spacing w:before="0" w:beforeAutospacing="0" w:after="0" w:afterAutospacing="0" w:line="276" w:lineRule="auto"/>
        <w:ind w:firstLine="697"/>
        <w:jc w:val="both"/>
        <w:rPr>
          <w:sz w:val="28"/>
          <w:szCs w:val="28"/>
        </w:rPr>
      </w:pPr>
      <w:r w:rsidRPr="00D46546">
        <w:rPr>
          <w:sz w:val="28"/>
          <w:szCs w:val="28"/>
        </w:rPr>
        <w:t xml:space="preserve">6.7. У випадку, якщо академічна різниця при </w:t>
      </w:r>
      <w:r w:rsidR="00BE3A4E" w:rsidRPr="00D46546">
        <w:rPr>
          <w:sz w:val="28"/>
          <w:szCs w:val="28"/>
        </w:rPr>
        <w:t xml:space="preserve">поновленні / </w:t>
      </w:r>
      <w:r w:rsidRPr="00D46546">
        <w:rPr>
          <w:sz w:val="28"/>
          <w:szCs w:val="28"/>
        </w:rPr>
        <w:t xml:space="preserve">переведенні в обраний семестр перевищує 20 кредитів ЄКТС, Комісія з визнання може </w:t>
      </w:r>
      <w:r w:rsidR="003F52E3" w:rsidRPr="00D46546">
        <w:rPr>
          <w:sz w:val="28"/>
          <w:szCs w:val="28"/>
        </w:rPr>
        <w:t>рекомендувати у</w:t>
      </w:r>
      <w:r w:rsidRPr="00D46546">
        <w:rPr>
          <w:sz w:val="28"/>
          <w:szCs w:val="28"/>
        </w:rPr>
        <w:t xml:space="preserve"> Протоколі визнання </w:t>
      </w:r>
      <w:r w:rsidR="00BB30CE" w:rsidRPr="00D46546">
        <w:rPr>
          <w:sz w:val="28"/>
          <w:szCs w:val="28"/>
        </w:rPr>
        <w:t xml:space="preserve">поновлення / </w:t>
      </w:r>
      <w:r w:rsidRPr="00D46546">
        <w:rPr>
          <w:sz w:val="28"/>
          <w:szCs w:val="28"/>
        </w:rPr>
        <w:t xml:space="preserve">переведення </w:t>
      </w:r>
      <w:r w:rsidR="003F52E3" w:rsidRPr="00D46546">
        <w:rPr>
          <w:sz w:val="28"/>
          <w:szCs w:val="28"/>
        </w:rPr>
        <w:t xml:space="preserve">особи на нижчий курс із зазначенням </w:t>
      </w:r>
      <w:r w:rsidRPr="00D46546">
        <w:rPr>
          <w:sz w:val="28"/>
          <w:szCs w:val="28"/>
        </w:rPr>
        <w:t xml:space="preserve">семестру, для якого академічна різниця є не більшою за 20 кредитів ЄКТС. </w:t>
      </w:r>
    </w:p>
    <w:p w14:paraId="42B321BB" w14:textId="680B9B5F" w:rsidR="00BE3A4E" w:rsidRPr="00D46546" w:rsidRDefault="00CF51FD" w:rsidP="00CF51FD">
      <w:pPr>
        <w:pStyle w:val="a3"/>
        <w:spacing w:before="0" w:beforeAutospacing="0" w:after="0" w:afterAutospacing="0" w:line="276" w:lineRule="auto"/>
        <w:ind w:firstLine="697"/>
        <w:jc w:val="both"/>
        <w:rPr>
          <w:sz w:val="28"/>
          <w:szCs w:val="28"/>
        </w:rPr>
      </w:pPr>
      <w:r w:rsidRPr="00D46546">
        <w:rPr>
          <w:sz w:val="28"/>
          <w:szCs w:val="28"/>
        </w:rPr>
        <w:t xml:space="preserve">В цьому випадку </w:t>
      </w:r>
      <w:r w:rsidR="00BE3A4E" w:rsidRPr="00D46546">
        <w:rPr>
          <w:sz w:val="28"/>
          <w:szCs w:val="28"/>
        </w:rPr>
        <w:t>і поновлення,</w:t>
      </w:r>
      <w:r w:rsidR="00BB30CE" w:rsidRPr="00D46546">
        <w:rPr>
          <w:sz w:val="28"/>
          <w:szCs w:val="28"/>
        </w:rPr>
        <w:t xml:space="preserve"> і</w:t>
      </w:r>
      <w:r w:rsidR="00BE3A4E" w:rsidRPr="00D46546">
        <w:rPr>
          <w:sz w:val="28"/>
          <w:szCs w:val="28"/>
        </w:rPr>
        <w:t xml:space="preserve"> </w:t>
      </w:r>
      <w:r w:rsidRPr="00D46546">
        <w:rPr>
          <w:sz w:val="28"/>
          <w:szCs w:val="28"/>
        </w:rPr>
        <w:t xml:space="preserve">переведення </w:t>
      </w:r>
      <w:r w:rsidR="00BE3A4E" w:rsidRPr="00D46546">
        <w:rPr>
          <w:sz w:val="28"/>
          <w:szCs w:val="28"/>
        </w:rPr>
        <w:t>особи</w:t>
      </w:r>
      <w:r w:rsidRPr="00D46546">
        <w:rPr>
          <w:sz w:val="28"/>
          <w:szCs w:val="28"/>
        </w:rPr>
        <w:t xml:space="preserve"> буде здійснюватися виключно на навчання за договором за кошти фізичних (юридичних) осіб.</w:t>
      </w:r>
      <w:r w:rsidR="00BE3A4E" w:rsidRPr="00D46546">
        <w:rPr>
          <w:sz w:val="28"/>
          <w:szCs w:val="28"/>
        </w:rPr>
        <w:t xml:space="preserve"> </w:t>
      </w:r>
    </w:p>
    <w:p w14:paraId="00C38D12" w14:textId="3DD2B455" w:rsidR="00CF51FD" w:rsidRPr="00D46546" w:rsidRDefault="00BE3A4E" w:rsidP="00CF51FD">
      <w:pPr>
        <w:pStyle w:val="a3"/>
        <w:spacing w:before="0" w:beforeAutospacing="0" w:after="0" w:afterAutospacing="0" w:line="276" w:lineRule="auto"/>
        <w:ind w:firstLine="697"/>
        <w:jc w:val="both"/>
        <w:rPr>
          <w:sz w:val="28"/>
          <w:szCs w:val="28"/>
        </w:rPr>
      </w:pPr>
      <w:r w:rsidRPr="00D46546">
        <w:rPr>
          <w:sz w:val="28"/>
          <w:szCs w:val="28"/>
        </w:rPr>
        <w:t>6.8. Обмеження академічної різниці в 20 кредитів не поширюється на випадок поновлення на навчання після академічної відпустки.</w:t>
      </w:r>
    </w:p>
    <w:p w14:paraId="575CF818" w14:textId="552EDA6E" w:rsidR="008B4EBC" w:rsidRPr="00D46546" w:rsidRDefault="008B4EBC" w:rsidP="00CF51FD">
      <w:pPr>
        <w:pStyle w:val="a3"/>
        <w:spacing w:before="0" w:beforeAutospacing="0" w:after="0" w:afterAutospacing="0" w:line="276" w:lineRule="auto"/>
        <w:ind w:firstLine="697"/>
        <w:jc w:val="both"/>
        <w:rPr>
          <w:sz w:val="28"/>
          <w:szCs w:val="28"/>
        </w:rPr>
      </w:pPr>
      <w:r w:rsidRPr="00D46546">
        <w:rPr>
          <w:sz w:val="28"/>
          <w:szCs w:val="28"/>
        </w:rPr>
        <w:t xml:space="preserve">6.9. Обсяг зарахованих в Університеті кредитів </w:t>
      </w:r>
      <w:r w:rsidR="00B23A92" w:rsidRPr="00D46546">
        <w:rPr>
          <w:sz w:val="28"/>
          <w:szCs w:val="28"/>
        </w:rPr>
        <w:t>(</w:t>
      </w:r>
      <w:r w:rsidR="00B23A92" w:rsidRPr="00D46546">
        <w:rPr>
          <w:i/>
          <w:iCs/>
          <w:sz w:val="28"/>
          <w:szCs w:val="28"/>
          <w:lang w:val="en-US"/>
        </w:rPr>
        <w:t>K</w:t>
      </w:r>
      <w:r w:rsidR="00B23A92" w:rsidRPr="00D46546">
        <w:rPr>
          <w:sz w:val="28"/>
          <w:szCs w:val="28"/>
          <w:vertAlign w:val="subscript"/>
        </w:rPr>
        <w:t>З</w:t>
      </w:r>
      <w:r w:rsidR="00B23A92" w:rsidRPr="00D46546">
        <w:rPr>
          <w:sz w:val="28"/>
          <w:szCs w:val="28"/>
        </w:rPr>
        <w:t xml:space="preserve">) </w:t>
      </w:r>
      <w:r w:rsidRPr="00D46546">
        <w:rPr>
          <w:sz w:val="28"/>
          <w:szCs w:val="28"/>
        </w:rPr>
        <w:t xml:space="preserve">визначається </w:t>
      </w:r>
      <w:r w:rsidR="00B23A92" w:rsidRPr="00D46546">
        <w:rPr>
          <w:sz w:val="28"/>
          <w:szCs w:val="28"/>
        </w:rPr>
        <w:t>сумою кредитів раніше вивчених ОК відповідно до академічної довідки, на підставі якої виконувалось визнання, для яких Комісією з визнання прийнято рішення «визнано» або «умовно визнано» (</w:t>
      </w:r>
      <w:r w:rsidR="00E5648F" w:rsidRPr="00D46546">
        <w:rPr>
          <w:sz w:val="28"/>
          <w:szCs w:val="28"/>
        </w:rPr>
        <w:t xml:space="preserve">коефіцієнт </w:t>
      </w:r>
      <w:r w:rsidR="00E5648F" w:rsidRPr="00D46546">
        <w:rPr>
          <w:i/>
          <w:iCs/>
          <w:sz w:val="28"/>
          <w:szCs w:val="28"/>
          <w:lang w:val="en-US"/>
        </w:rPr>
        <w:t>K</w:t>
      </w:r>
      <w:r w:rsidR="00E5648F" w:rsidRPr="00D46546">
        <w:rPr>
          <w:sz w:val="28"/>
          <w:szCs w:val="28"/>
          <w:vertAlign w:val="subscript"/>
        </w:rPr>
        <w:t>З</w:t>
      </w:r>
      <w:r w:rsidR="00E5648F" w:rsidRPr="00D46546">
        <w:rPr>
          <w:sz w:val="28"/>
          <w:szCs w:val="28"/>
        </w:rPr>
        <w:t xml:space="preserve"> </w:t>
      </w:r>
      <w:r w:rsidR="00B23A92" w:rsidRPr="00D46546">
        <w:rPr>
          <w:sz w:val="28"/>
          <w:szCs w:val="28"/>
        </w:rPr>
        <w:t>розраховується при визнанні результатів попереднього навчання осіб, що навчались за кошти державного (</w:t>
      </w:r>
      <w:r w:rsidR="00E5648F" w:rsidRPr="00D46546">
        <w:rPr>
          <w:sz w:val="28"/>
          <w:szCs w:val="28"/>
        </w:rPr>
        <w:t>місцевого</w:t>
      </w:r>
      <w:r w:rsidR="00B23A92" w:rsidRPr="00D46546">
        <w:rPr>
          <w:sz w:val="28"/>
          <w:szCs w:val="28"/>
        </w:rPr>
        <w:t xml:space="preserve">) бюджету, не завершили навчання за певним рівнем освіти і повторно вступили на 1 курс на навчання за тим же рівнем освіти). </w:t>
      </w:r>
    </w:p>
    <w:p w14:paraId="770D9E94" w14:textId="32905F6A" w:rsidR="002A6555" w:rsidRPr="00D46546" w:rsidRDefault="002A6555" w:rsidP="00CF51FD">
      <w:pPr>
        <w:pStyle w:val="a3"/>
        <w:spacing w:before="0" w:beforeAutospacing="0" w:after="0" w:afterAutospacing="0" w:line="276" w:lineRule="auto"/>
        <w:ind w:firstLine="697"/>
        <w:jc w:val="both"/>
        <w:rPr>
          <w:sz w:val="28"/>
          <w:szCs w:val="28"/>
        </w:rPr>
      </w:pPr>
      <w:r w:rsidRPr="00D46546">
        <w:rPr>
          <w:sz w:val="28"/>
          <w:szCs w:val="28"/>
        </w:rPr>
        <w:t xml:space="preserve">6.10. При визнанні в Університеті результатів попереднього навчання осіб, що зараховані для здобуття освіти за бакалаврським рівнем вищої освіти на основі фахової передвищої освіти, відповідність між ОК відображається в Протоколі визнання відповідно до вимог пп.6.3-6.4 цього Положення. </w:t>
      </w:r>
    </w:p>
    <w:p w14:paraId="0143EB63" w14:textId="5BBAE9D0" w:rsidR="002A6555" w:rsidRPr="00D46546" w:rsidRDefault="002A6555" w:rsidP="00CF51FD">
      <w:pPr>
        <w:pStyle w:val="a3"/>
        <w:spacing w:before="0" w:beforeAutospacing="0" w:after="0" w:afterAutospacing="0" w:line="276" w:lineRule="auto"/>
        <w:ind w:firstLine="697"/>
        <w:jc w:val="both"/>
        <w:rPr>
          <w:sz w:val="28"/>
          <w:szCs w:val="28"/>
        </w:rPr>
      </w:pPr>
      <w:r w:rsidRPr="00D46546">
        <w:rPr>
          <w:sz w:val="28"/>
          <w:szCs w:val="28"/>
        </w:rPr>
        <w:t xml:space="preserve">За необхідності, в рамках такого визнання також може визначатись академічна різниця. Факт її наявності, обсяг та граничний термін виконання її </w:t>
      </w:r>
      <w:r w:rsidR="00416B8C" w:rsidRPr="00D46546">
        <w:rPr>
          <w:sz w:val="28"/>
          <w:szCs w:val="28"/>
        </w:rPr>
        <w:t>освітніх компонентів</w:t>
      </w:r>
      <w:r w:rsidRPr="00D46546">
        <w:rPr>
          <w:sz w:val="28"/>
          <w:szCs w:val="28"/>
        </w:rPr>
        <w:t xml:space="preserve"> </w:t>
      </w:r>
      <w:proofErr w:type="spellStart"/>
      <w:r w:rsidRPr="00D46546">
        <w:rPr>
          <w:sz w:val="28"/>
          <w:szCs w:val="28"/>
        </w:rPr>
        <w:t>обов</w:t>
      </w:r>
      <w:proofErr w:type="spellEnd"/>
      <w:r w:rsidRPr="00D46546">
        <w:rPr>
          <w:sz w:val="28"/>
          <w:szCs w:val="28"/>
          <w:lang w:val="ru-RU"/>
        </w:rPr>
        <w:t>’</w:t>
      </w:r>
      <w:proofErr w:type="spellStart"/>
      <w:r w:rsidRPr="00D46546">
        <w:rPr>
          <w:sz w:val="28"/>
          <w:szCs w:val="28"/>
        </w:rPr>
        <w:t>язково</w:t>
      </w:r>
      <w:proofErr w:type="spellEnd"/>
      <w:r w:rsidRPr="00D46546">
        <w:rPr>
          <w:sz w:val="28"/>
          <w:szCs w:val="28"/>
        </w:rPr>
        <w:t xml:space="preserve">  відобража</w:t>
      </w:r>
      <w:r w:rsidR="00570AEB" w:rsidRPr="00D46546">
        <w:rPr>
          <w:sz w:val="28"/>
          <w:szCs w:val="28"/>
        </w:rPr>
        <w:t>ю</w:t>
      </w:r>
      <w:r w:rsidRPr="00D46546">
        <w:rPr>
          <w:sz w:val="28"/>
          <w:szCs w:val="28"/>
        </w:rPr>
        <w:t>ться в Протоколі визнання.</w:t>
      </w:r>
    </w:p>
    <w:p w14:paraId="709C1887" w14:textId="7A9A2499" w:rsidR="006434E9" w:rsidRPr="00D46546" w:rsidRDefault="00966E6F" w:rsidP="002A6555">
      <w:pPr>
        <w:spacing w:before="120" w:after="120" w:line="276" w:lineRule="auto"/>
        <w:ind w:firstLine="69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Визначення виконання вимог до вступників</w:t>
      </w:r>
    </w:p>
    <w:p w14:paraId="2F65F8F1" w14:textId="02BBE4A0" w:rsidR="006434E9" w:rsidRPr="00D46546" w:rsidRDefault="009C6EB6" w:rsidP="006434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B23A9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B7B2E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Протоколі визнання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комісія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відображає результати аналізу документів, на основі яких </w:t>
      </w:r>
      <w:r w:rsidR="0002161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особою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здійснювався вступ до закладу вищої освіти, </w:t>
      </w:r>
      <w:r w:rsidR="0002161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 вимог до вступників у рік вступу контингенту, до якого доєднується особа, або в один з наступних років, але не пізніше року написання нею заяви</w:t>
      </w:r>
      <w:r w:rsidR="00B23A9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поновлення / переведення</w:t>
      </w:r>
      <w:r w:rsidR="0002161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висвітлює своє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щодо того виконані чи не виконані особою вимоги до вступників на освітню програму, на яку вона поновлюється / переводиться, </w:t>
      </w:r>
      <w:r w:rsidR="00B23A9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також надає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рекомендації щодо термінів їх виконання (див. п. 4.2).</w:t>
      </w:r>
    </w:p>
    <w:p w14:paraId="760BFFCD" w14:textId="5E99E36B" w:rsidR="006434E9" w:rsidRPr="00D46546" w:rsidRDefault="00966E6F" w:rsidP="002A6555">
      <w:pPr>
        <w:spacing w:before="120" w:after="120" w:line="276" w:lineRule="auto"/>
        <w:ind w:firstLine="69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Визначення здатності особи виконувати освітню програму</w:t>
      </w:r>
    </w:p>
    <w:p w14:paraId="73B8223B" w14:textId="3A631CD2" w:rsidR="00021612" w:rsidRPr="00D46546" w:rsidRDefault="00021612" w:rsidP="0002161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6.</w:t>
      </w:r>
      <w:r w:rsidR="00E5648F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12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 результатами розгляду документів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аналізу освітньої траєкторії особи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та </w:t>
      </w:r>
      <w:r w:rsidR="003F52E3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проведення з нею співбесіди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Комісія з визнання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приймає рішення щодо здатності особи виконувати освітню програму, на яку вона поновлюється / переводиться, і відображає відповідне рішення в 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Протоколі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визнання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</w:p>
    <w:p w14:paraId="52BBF25E" w14:textId="13670F06" w:rsidR="006434E9" w:rsidRPr="00D46546" w:rsidRDefault="00021612" w:rsidP="0002161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Пропонований формат рішення: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«За результатами співбесіди та аналізу траєкторії навчання оцінка здатності 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________ (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ПІБ особи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успішно виконати освітню програму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______________ (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назва ОП, на яку поновлюється / </w:t>
      </w:r>
      <w:r w:rsidR="006434E9" w:rsidRPr="00D4654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 xml:space="preserve"> 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uk-UA"/>
        </w:rPr>
        <w:t>переводиться особа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)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– позитивна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/ негативна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»</w:t>
      </w:r>
      <w:r w:rsidRPr="00D46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0F4DE874" w14:textId="68DF1C12" w:rsidR="006434E9" w:rsidRPr="00D46546" w:rsidRDefault="006434E9" w:rsidP="00E5648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ВСТАНОВЛЕННЯ ВІДПОВІДНОСТІ МІЖ СИСТЕМАМИ ОЦІНЮВАННЯ</w:t>
      </w:r>
    </w:p>
    <w:p w14:paraId="774C4B0B" w14:textId="790FE39A" w:rsidR="00CA4189" w:rsidRPr="00D46546" w:rsidRDefault="00FF212F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CA418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Відповідність між балами (оцінками), отриманими особою в попередні періоди навчання, та балами (оцінками) шкали оцінювання, передбаченої Положенням про систему оцінювання результатів навчання в КПІ ім. Ігоря Сікорського, встановлюється залежно від специфіки оцінювання закладу вищої освіти</w:t>
      </w:r>
      <w:r w:rsidR="00E5648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ЗВО)</w:t>
      </w:r>
      <w:r w:rsidR="00CA418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навчалась особа до зарахування / поновлення / переведення в Університет.</w:t>
      </w:r>
    </w:p>
    <w:p w14:paraId="3ADB579F" w14:textId="0D0A076E" w:rsidR="006434E9" w:rsidRPr="00D46546" w:rsidRDefault="00CA4189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7.2. Оцінка за університетською шкалою формується простим перенесенням оцінки з раніше вивченого ОК, я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результати навчання </w:t>
      </w:r>
      <w:r w:rsidR="00FF212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попередньому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 освіти оцінювались за 100 бальною шкалою, і мінімально позитивна оцінка </w:t>
      </w:r>
      <w:r w:rsidR="00FF212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складала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менше 60 балів (див. табл. </w:t>
      </w:r>
      <w:r w:rsidR="00FF212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.1).</w:t>
      </w:r>
    </w:p>
    <w:p w14:paraId="0BBD526B" w14:textId="0DBE52B8" w:rsidR="006434E9" w:rsidRPr="00D46546" w:rsidRDefault="006434E9" w:rsidP="006434E9">
      <w:pPr>
        <w:spacing w:after="0" w:line="276" w:lineRule="auto"/>
        <w:ind w:right="24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Таблиця </w:t>
      </w:r>
      <w:r w:rsidR="00FF212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4815"/>
      </w:tblGrid>
      <w:tr w:rsidR="00D46546" w:rsidRPr="00D46546" w14:paraId="3093012C" w14:textId="77777777" w:rsidTr="00CA4189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0F9CAC" w14:textId="7285FB23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балів, отриманих </w:t>
            </w:r>
            <w:r w:rsidR="00FF212F"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FA6F76" w14:textId="5F2C2E33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Університетська шкала оцінок </w:t>
            </w:r>
            <w:r w:rsidR="00CA4189"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(балів)</w:t>
            </w:r>
          </w:p>
        </w:tc>
      </w:tr>
      <w:tr w:rsidR="00D46546" w:rsidRPr="00D46546" w14:paraId="07EC9386" w14:textId="77777777" w:rsidTr="00CA4189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A0BFC4" w14:textId="77777777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100-95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E98052" w14:textId="2168A611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Відмінно</w:t>
            </w:r>
            <w:r w:rsidR="00CA4189"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(100-95)</w:t>
            </w:r>
          </w:p>
        </w:tc>
      </w:tr>
      <w:tr w:rsidR="00D46546" w:rsidRPr="00D46546" w14:paraId="023DDA27" w14:textId="77777777" w:rsidTr="00CA4189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E424F8" w14:textId="77777777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6AF4CA" w14:textId="32117BDA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Дуже добре</w:t>
            </w:r>
            <w:r w:rsidR="00CA4189"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(94-85)</w:t>
            </w:r>
          </w:p>
        </w:tc>
      </w:tr>
      <w:tr w:rsidR="00D46546" w:rsidRPr="00D46546" w14:paraId="271988C4" w14:textId="77777777" w:rsidTr="00CA4189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E6CBCF" w14:textId="77777777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257C2C" w14:textId="26519A3A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Добре</w:t>
            </w:r>
            <w:r w:rsidR="00CA4189"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(84-75)</w:t>
            </w:r>
          </w:p>
        </w:tc>
      </w:tr>
      <w:tr w:rsidR="00D46546" w:rsidRPr="00D46546" w14:paraId="7E684652" w14:textId="77777777" w:rsidTr="00CA4189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A08672" w14:textId="77777777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528294" w14:textId="462988C6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Задовільно</w:t>
            </w:r>
            <w:r w:rsidR="00CA4189"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(74-65)</w:t>
            </w:r>
          </w:p>
        </w:tc>
      </w:tr>
      <w:tr w:rsidR="00D46546" w:rsidRPr="00D46546" w14:paraId="68033846" w14:textId="77777777" w:rsidTr="00CA4189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EC0D6" w14:textId="77777777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188DC3" w14:textId="42C293E6" w:rsidR="006434E9" w:rsidRPr="00D46546" w:rsidRDefault="006434E9" w:rsidP="006434E9">
            <w:pPr>
              <w:spacing w:after="0"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Достатньо</w:t>
            </w:r>
            <w:r w:rsidR="00CA4189"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(64-60)</w:t>
            </w:r>
          </w:p>
        </w:tc>
      </w:tr>
    </w:tbl>
    <w:p w14:paraId="5E92B0E1" w14:textId="42E3ED44" w:rsidR="006434E9" w:rsidRPr="00D46546" w:rsidRDefault="00CA4189" w:rsidP="00FF21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Оцінка за університетською шкалою формується з врахуванням відсоткового співвідношення між оцінками і здійснюється перерахунок балів, якщо результати навчання з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раніше вивченого ОК (див. табл. 7.2)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C9888FF" w14:textId="77777777" w:rsidR="006434E9" w:rsidRPr="00D46546" w:rsidRDefault="006434E9" w:rsidP="00CA4189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оцінювались за 100-бальною шкалою, але мінімально позитивна оцінка менша за 60 балів, </w:t>
      </w:r>
    </w:p>
    <w:p w14:paraId="42CC6FA2" w14:textId="77777777" w:rsidR="006434E9" w:rsidRPr="00D46546" w:rsidRDefault="006434E9" w:rsidP="006434E9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оцінювались не за 100-бальною шкалою, </w:t>
      </w:r>
    </w:p>
    <w:p w14:paraId="37E38141" w14:textId="120DCF51" w:rsidR="006434E9" w:rsidRPr="00D46546" w:rsidRDefault="006434E9" w:rsidP="006434E9">
      <w:pPr>
        <w:numPr>
          <w:ilvl w:val="0"/>
          <w:numId w:val="3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оцінювались рівнями без балів</w:t>
      </w:r>
      <w:r w:rsidR="00CA418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(якісно, а не кількісно).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4F3983D" w14:textId="77777777" w:rsidR="00D46546" w:rsidRPr="00D46546" w:rsidRDefault="00D46546" w:rsidP="006434E9">
      <w:pPr>
        <w:spacing w:after="0" w:line="276" w:lineRule="auto"/>
        <w:ind w:right="24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3974BB" w14:textId="77777777" w:rsidR="00D46546" w:rsidRPr="00D46546" w:rsidRDefault="00D46546" w:rsidP="006434E9">
      <w:pPr>
        <w:spacing w:after="0" w:line="276" w:lineRule="auto"/>
        <w:ind w:right="24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E2FD53" w14:textId="77777777" w:rsidR="00D46546" w:rsidRPr="00D46546" w:rsidRDefault="00D46546" w:rsidP="006434E9">
      <w:pPr>
        <w:spacing w:after="0" w:line="276" w:lineRule="auto"/>
        <w:ind w:right="24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3A6E78" w14:textId="77777777" w:rsidR="00D46546" w:rsidRPr="00D46546" w:rsidRDefault="00D46546" w:rsidP="006434E9">
      <w:pPr>
        <w:spacing w:after="0" w:line="276" w:lineRule="auto"/>
        <w:ind w:right="24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E26791" w14:textId="4C1D25A8" w:rsidR="006434E9" w:rsidRPr="00D46546" w:rsidRDefault="006434E9" w:rsidP="006434E9">
      <w:pPr>
        <w:spacing w:after="0" w:line="276" w:lineRule="auto"/>
        <w:ind w:right="24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Таблиця </w:t>
      </w:r>
      <w:r w:rsidR="00CA418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465"/>
        <w:gridCol w:w="2395"/>
        <w:gridCol w:w="1563"/>
        <w:gridCol w:w="2113"/>
      </w:tblGrid>
      <w:tr w:rsidR="00D46546" w:rsidRPr="00D46546" w14:paraId="677F59EE" w14:textId="77777777" w:rsidTr="00903CAA">
        <w:trPr>
          <w:trHeight w:val="5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AE27F3" w14:textId="1FB5495F" w:rsidR="00903CAA" w:rsidRPr="00D46546" w:rsidRDefault="00903CAA" w:rsidP="00E5648F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Приклад шкали ЗВО, результати навчання в якому визнаються</w:t>
            </w:r>
            <w:r w:rsidRPr="00D46546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footnoteReference w:id="1"/>
            </w:r>
          </w:p>
          <w:p w14:paraId="61ABEE0E" w14:textId="1EBD63E6" w:rsidR="00903CAA" w:rsidRPr="00D46546" w:rsidRDefault="00903CAA" w:rsidP="00E5648F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D87AC3" w14:textId="77777777" w:rsidR="00903CAA" w:rsidRPr="00D46546" w:rsidRDefault="00903CAA" w:rsidP="00E5648F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Відсоткове співвідношення між оцінками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A3EFD" w14:textId="1B1A09A8" w:rsidR="00903CAA" w:rsidRPr="00D46546" w:rsidRDefault="00903CAA" w:rsidP="00E5648F">
            <w:pPr>
              <w:spacing w:after="0" w:line="240" w:lineRule="auto"/>
              <w:ind w:right="260" w:firstLine="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Переведення в університетську шкалу</w:t>
            </w:r>
            <w:r w:rsidRPr="00D46546">
              <w:rPr>
                <w:rStyle w:val="aa"/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footnoteReference w:id="2"/>
            </w:r>
          </w:p>
        </w:tc>
      </w:tr>
      <w:tr w:rsidR="00D46546" w:rsidRPr="00D46546" w14:paraId="5D6F5D5B" w14:textId="77777777" w:rsidTr="00903CAA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AA007D" w14:textId="77777777" w:rsidR="00903CAA" w:rsidRPr="00D46546" w:rsidRDefault="00903CAA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Шкала ЗВО без балів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E18D01" w14:textId="77777777" w:rsidR="00903CAA" w:rsidRPr="00D46546" w:rsidRDefault="00903CAA" w:rsidP="00E5648F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 за шкалою ЄКТС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EB5825" w14:textId="77777777" w:rsidR="00903CAA" w:rsidRPr="00D46546" w:rsidRDefault="00903CAA" w:rsidP="00E5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A17C28" w14:textId="798410C2" w:rsidR="00903CAA" w:rsidRPr="00D46546" w:rsidRDefault="00903CAA" w:rsidP="00E5648F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24AF8C" w14:textId="125C4B65" w:rsidR="00903CAA" w:rsidRPr="00D46546" w:rsidRDefault="00903CAA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Оцінка</w:t>
            </w:r>
          </w:p>
        </w:tc>
      </w:tr>
      <w:tr w:rsidR="00D46546" w:rsidRPr="00D46546" w14:paraId="7AC50368" w14:textId="77777777" w:rsidTr="00903CAA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5D618D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Mаксимальна</w:t>
            </w:r>
            <w:proofErr w:type="spellEnd"/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 оцінка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740A81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C3DE1D" w14:textId="671EF555" w:rsidR="006434E9" w:rsidRPr="00D46546" w:rsidRDefault="00903CAA" w:rsidP="00E5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(95-100)%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2CE3EA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95-100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3058A2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Відмінно</w:t>
            </w:r>
          </w:p>
        </w:tc>
      </w:tr>
      <w:tr w:rsidR="00D46546" w:rsidRPr="00D46546" w14:paraId="32A0149B" w14:textId="77777777" w:rsidTr="00903CA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20B4B3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C1240C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90C54A" w14:textId="0BFA1697" w:rsidR="006434E9" w:rsidRPr="00D46546" w:rsidRDefault="00903CAA" w:rsidP="00E5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(85-94)%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ED750F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85-94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09DBD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Дуже добре</w:t>
            </w:r>
          </w:p>
        </w:tc>
      </w:tr>
      <w:tr w:rsidR="00D46546" w:rsidRPr="00D46546" w14:paraId="03DABE05" w14:textId="77777777" w:rsidTr="00903CA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4359F2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DE7860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BCBE15" w14:textId="79AF985E" w:rsidR="006434E9" w:rsidRPr="00D46546" w:rsidRDefault="00903CAA" w:rsidP="00E5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(75-84)%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D52935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75-84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9AC094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Добре</w:t>
            </w:r>
          </w:p>
        </w:tc>
      </w:tr>
      <w:tr w:rsidR="00D46546" w:rsidRPr="00D46546" w14:paraId="7ED1B2D0" w14:textId="77777777" w:rsidTr="00903CA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B86788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68C292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FD1FBF" w14:textId="4C20543A" w:rsidR="006434E9" w:rsidRPr="00D46546" w:rsidRDefault="00903CAA" w:rsidP="00E5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(65-74)%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B7D1E1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65-74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B895E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Задовільно</w:t>
            </w:r>
          </w:p>
        </w:tc>
      </w:tr>
      <w:tr w:rsidR="006434E9" w:rsidRPr="00D46546" w14:paraId="2A1357D8" w14:textId="77777777" w:rsidTr="00903CAA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C5C355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Mінімальна</w:t>
            </w:r>
            <w:proofErr w:type="spellEnd"/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 оцінка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E371C4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903688" w14:textId="77777777" w:rsidR="006434E9" w:rsidRPr="00D46546" w:rsidRDefault="006434E9" w:rsidP="00E56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(60-64)%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88E071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60-64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70B24" w14:textId="77777777" w:rsidR="006434E9" w:rsidRPr="00D46546" w:rsidRDefault="006434E9" w:rsidP="00E5648F">
            <w:pPr>
              <w:spacing w:after="0" w:line="240" w:lineRule="auto"/>
              <w:ind w:right="2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D4654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Достатньо</w:t>
            </w:r>
          </w:p>
        </w:tc>
      </w:tr>
    </w:tbl>
    <w:p w14:paraId="2A7AE0A2" w14:textId="77777777" w:rsidR="00903CAA" w:rsidRPr="00D46546" w:rsidRDefault="00903CAA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1DC54C" w14:textId="546E2F38" w:rsidR="006434E9" w:rsidRPr="00D46546" w:rsidRDefault="00903CAA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випадку визнання результатів навчання з декількох освітніх компонентів попередніх періодів в межах одного освітнього компоненту програми, на яку зарахован</w:t>
      </w:r>
      <w:r w:rsidR="00E5648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поновлюється / переводиться особа, оцінка в балах за еквівалентний освітній компонент визначається як середньозважена оцінка:</w:t>
      </w:r>
    </w:p>
    <w:p w14:paraId="5436156D" w14:textId="77777777" w:rsidR="00CB7A4B" w:rsidRPr="00D46546" w:rsidRDefault="00CB7A4B" w:rsidP="00CB7A4B">
      <w:pPr>
        <w:pStyle w:val="ab"/>
        <w:ind w:firstLine="709"/>
        <w:jc w:val="both"/>
      </w:pPr>
    </w:p>
    <w:p w14:paraId="39E0E9EA" w14:textId="77777777" w:rsidR="00CB7A4B" w:rsidRPr="00D46546" w:rsidRDefault="00D46546" w:rsidP="00CB7A4B">
      <w:pPr>
        <w:pStyle w:val="a5"/>
        <w:tabs>
          <w:tab w:val="left" w:pos="1494"/>
        </w:tabs>
        <w:ind w:left="0" w:right="233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uk-UA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uk-UA"/>
                </w:rPr>
                <m:t>X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uk-U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uk-U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uk-UA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uk-U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uk-UA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uk-UA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uk-UA"/>
            </w:rPr>
            <m:t>,</m:t>
          </m:r>
        </m:oMath>
      </m:oMathPara>
    </w:p>
    <w:p w14:paraId="047A7E64" w14:textId="3E5B9A6C" w:rsidR="00CB7A4B" w:rsidRPr="00D46546" w:rsidRDefault="00CB7A4B" w:rsidP="00CB7A4B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uk-U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uk-UA"/>
              </w:rPr>
              <m:t>X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uk-UA"/>
          </w:rPr>
          <m:t xml:space="preserve"> </m:t>
        </m:r>
      </m:oMath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середньозважена бальна оцінка; </w:t>
      </w:r>
      <w:proofErr w:type="spellStart"/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Q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uk-UA"/>
        </w:rPr>
        <w:t>і</w:t>
      </w:r>
      <w:proofErr w:type="spellEnd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загальний обсяг кредитів, відведених на вивчення 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-ого освітнього компоненту протягом семестру; </w:t>
      </w:r>
      <w:proofErr w:type="spellStart"/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X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uk-UA"/>
        </w:rPr>
        <w:t>і</w:t>
      </w:r>
      <w:proofErr w:type="spellEnd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результат семестрового контролю з 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-ого освітнього компоненту, виражений в балах; 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освітніх компонентів, де 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=1…</w:t>
      </w:r>
      <w:r w:rsidRPr="00D4654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25B9A3" w14:textId="1D09507C" w:rsidR="006434E9" w:rsidRPr="00D46546" w:rsidRDefault="006434E9" w:rsidP="00E5648F">
      <w:pPr>
        <w:spacing w:before="120" w:after="120" w:line="276" w:lineRule="auto"/>
        <w:ind w:firstLine="69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CB7A4B"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ПРИКІНЦЕВІ ПОЛОЖЕННЯ</w:t>
      </w:r>
    </w:p>
    <w:p w14:paraId="494F7E14" w14:textId="2CA8A6F5" w:rsidR="006434E9" w:rsidRPr="00D46546" w:rsidRDefault="00CB7A4B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Заяву встановленої форми щодо визначення умов зарахування / поновлення / переведення особа подає до деканату факультету / навчально-наукового інституту, на освітню програму якого вона зараховується / поновлюється / переводиться</w:t>
      </w:r>
      <w:r w:rsidR="00416B8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разом з усіма необхідними документами, перелік яких визначено в цьому Положенні. </w:t>
      </w:r>
    </w:p>
    <w:p w14:paraId="2B3ACB83" w14:textId="6EE202A0" w:rsidR="000441B8" w:rsidRPr="00D46546" w:rsidRDefault="00CB7A4B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8.2. 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Заява встановленої форми з усіма необхідними документами подається у наступні строк / термін</w:t>
      </w:r>
      <w:r w:rsidR="000441B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09B274EB" w14:textId="414452A1" w:rsidR="006434E9" w:rsidRPr="00D46546" w:rsidRDefault="000441B8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п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</w:t>
      </w:r>
      <w:r w:rsidR="006434E9"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переведенні в межах Університету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може подаватись відразу після успішного складання семестрового контролю, але не пізніше, ніж за 14 робочих днів до початку навчального семестру, на навчання в якому переводиться здобувач. До заяви додається завірена копія навчальної картки з результатами навчання за всі семестри, що передували переведенню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E3C0D5A" w14:textId="2FFC48DD" w:rsidR="006434E9" w:rsidRPr="00D46546" w:rsidRDefault="000441B8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п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</w:t>
      </w:r>
      <w:r w:rsidR="006434E9"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переведенні до Університету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4E9"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 іншого 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ЗВО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збереженням місця державного замовлення (без зміни спеціальності, року та форми навчання) заява має бути поданою не пізніше 25 січня та 25 червня для належної реалізації процедури переведення в терміни, визначені Положенням про порядок відрахування, переривання навчання, поновлення і переведення осіб, які навчаються у закладах вищої освіти, та надання їм академічної відпустки, затверджен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наказом МОН №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134 від 07.02.2024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F5398A8" w14:textId="2CB22C7D" w:rsidR="00E5648F" w:rsidRPr="00D46546" w:rsidRDefault="000441B8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випадку 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зарахування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здобувача до Університету 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основі попередньо здобутого освітнього рівня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648F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(як правило, фахової передвищої освіти),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подається протягом перших тижнів навчання;</w:t>
      </w:r>
    </w:p>
    <w:p w14:paraId="64F89049" w14:textId="4AAD1BED" w:rsidR="000441B8" w:rsidRPr="00D46546" w:rsidRDefault="000441B8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при 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поновленні на навчання після академічної відпустки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подається не пізніше, ніж за 5 днів до завершення академічної відпустки;</w:t>
      </w:r>
    </w:p>
    <w:p w14:paraId="6E152F68" w14:textId="5826D6F4" w:rsidR="000441B8" w:rsidRPr="00D46546" w:rsidRDefault="000441B8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навчання за двома освітніми програмами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</w:t>
      </w:r>
      <w:r w:rsidR="006A4E7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після отримання результатів семестрового контролю з ОК тієї освітньої програми, результати навчання за якою визнаються. 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цьому, з</w:t>
      </w:r>
      <w:r w:rsidR="006A4E7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добувач в обов’язковому порядку інформує викладача змістовно подібного ОК 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однієї</w:t>
      </w:r>
      <w:r w:rsidR="006A4E7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освітньої програми, що він планує визнання результатів навчання за іншою освітньою програмою в рамках цього ОК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4E7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отримує його попередню згоду на таке визнання.</w:t>
      </w:r>
    </w:p>
    <w:p w14:paraId="23777EF3" w14:textId="136E2F7E" w:rsidR="00DD30F4" w:rsidRPr="00D46546" w:rsidRDefault="00DD30F4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 Визнання результатів попереднього навчання в межах освітніх компонентів семестру, 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який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поновлений / переведений здобувач, відбувається після його поновлення / переведення згідно з вимогами Положення про визнання в КПІ ім. Ігоря Сікорського результатів навчання, набутих у неформальній/</w:t>
      </w:r>
      <w:proofErr w:type="spellStart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інформальній</w:t>
      </w:r>
      <w:proofErr w:type="spellEnd"/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освіті.</w:t>
      </w:r>
    </w:p>
    <w:p w14:paraId="00D8EF18" w14:textId="0520BF8E" w:rsidR="006434E9" w:rsidRPr="00D46546" w:rsidRDefault="00CB7A4B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30F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E6830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отримання заяв з документами деканат факультету / навчально-наукового інституту передає їх декану факультету / директору навчально-наукового інституту для проставлення резолюці</w:t>
      </w:r>
      <w:r w:rsidR="009C273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</w:t>
      </w:r>
      <w:r w:rsidR="005947EC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9C273A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засідання Комісії з визнання. </w:t>
      </w:r>
    </w:p>
    <w:p w14:paraId="1464F4FC" w14:textId="05611BC3" w:rsidR="006434E9" w:rsidRPr="00D46546" w:rsidRDefault="00CB7A4B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30F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отримання Протоколів визнання, д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еканати</w:t>
      </w:r>
      <w:r w:rsidR="004943A1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факультетів / навчально-наукових інститутів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інформують заявників про умови поновлення / переведення, 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 та терміни ліквідації академічної різниці, терміни виконання вимог до вступників,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вносять визнані результати навчання до навчальних карток здобувачів, електронних баз даних, здійснюють оформлення індивідуальних відомостей семестрового контролю для відображення результатів виконання академічної різниці та документальний супровід процесів поновлення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переведення, поновлення на навчання після академічної відпустки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171209" w14:textId="534BFBE1" w:rsidR="006434E9" w:rsidRPr="00D46546" w:rsidRDefault="00CB7A4B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30F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формуванні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додатку до диплому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нього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вносять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назви освітніх компонентів, що відповідають освітній програмі, на яку було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зараховано /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поновлено / переведено особу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визнаних результатів навчання)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87E0DB" w14:textId="546168B3" w:rsidR="00A20B53" w:rsidRPr="00D46546" w:rsidRDefault="00CB7A4B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30F4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 академічної довідки при відрахуванні здобувача вносяться</w:t>
      </w:r>
      <w:r w:rsidR="00A20B5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A7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зазначенням </w:t>
      </w:r>
      <w:r w:rsidR="00A20B53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відповідних освітніх програм:</w:t>
      </w:r>
    </w:p>
    <w:p w14:paraId="27EA3E42" w14:textId="75D2850C" w:rsidR="00A20B53" w:rsidRPr="00D46546" w:rsidRDefault="00A20B53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 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876A7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незмінними назвами та кількістю кредитів)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містились в його попередній академічній довідці, на підставі якої здійснювалось визнання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поновленні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93DF571" w14:textId="2068E64D" w:rsidR="00A20B53" w:rsidRPr="00D46546" w:rsidRDefault="00A20B53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всі ОК</w:t>
      </w:r>
      <w:r w:rsidR="00876A72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незмінними назвами та кількістю кредитів)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містились в його попередній навчальній картці до переведення на іншу освітню програму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B522864" w14:textId="56F65ADF" w:rsidR="00A20B53" w:rsidRPr="00D46546" w:rsidRDefault="00A20B53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н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 освітні компоненти згідно з навчальним планом освітньої програми, за якою навчався здобувач</w:t>
      </w: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поновлення / переведення 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з яких він отримав позитивні результати семестрового контролю</w:t>
      </w:r>
      <w:r w:rsidR="004A2848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01B9660" w14:textId="0F01BF63" w:rsidR="006434E9" w:rsidRPr="00D46546" w:rsidRDefault="00A20B53" w:rsidP="006434E9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- успішно виконані ОК академічної різниці</w:t>
      </w:r>
      <w:r w:rsidR="006434E9"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5DE757" w14:textId="77777777" w:rsidR="006434E9" w:rsidRPr="00D46546" w:rsidRDefault="006434E9" w:rsidP="006434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E4291B" w14:textId="02C4A329" w:rsidR="006434E9" w:rsidRPr="00D46546" w:rsidRDefault="006434E9" w:rsidP="004A28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6546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Проректор з навчальної роботи    </w:t>
      </w:r>
      <w:r w:rsidR="004A2848"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</w:t>
      </w:r>
      <w:r w:rsidRPr="00D465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     Тетяна ЖЕЛЯСКОВА</w:t>
      </w:r>
    </w:p>
    <w:p w14:paraId="6F88AE11" w14:textId="77777777" w:rsidR="00721581" w:rsidRPr="00D46546" w:rsidRDefault="00721581" w:rsidP="006434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21581" w:rsidRPr="00D46546" w:rsidSect="00871E12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1C2AE" w14:textId="77777777" w:rsidR="00696777" w:rsidRDefault="00696777" w:rsidP="00903CAA">
      <w:pPr>
        <w:spacing w:after="0" w:line="240" w:lineRule="auto"/>
      </w:pPr>
      <w:r>
        <w:separator/>
      </w:r>
    </w:p>
  </w:endnote>
  <w:endnote w:type="continuationSeparator" w:id="0">
    <w:p w14:paraId="00008EE2" w14:textId="77777777" w:rsidR="00696777" w:rsidRDefault="00696777" w:rsidP="009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3F2D8" w14:textId="77777777" w:rsidR="00696777" w:rsidRDefault="00696777" w:rsidP="00903CAA">
      <w:pPr>
        <w:spacing w:after="0" w:line="240" w:lineRule="auto"/>
      </w:pPr>
      <w:r>
        <w:separator/>
      </w:r>
    </w:p>
  </w:footnote>
  <w:footnote w:type="continuationSeparator" w:id="0">
    <w:p w14:paraId="475A3D58" w14:textId="77777777" w:rsidR="00696777" w:rsidRDefault="00696777" w:rsidP="00903CAA">
      <w:pPr>
        <w:spacing w:after="0" w:line="240" w:lineRule="auto"/>
      </w:pPr>
      <w:r>
        <w:continuationSeparator/>
      </w:r>
    </w:p>
  </w:footnote>
  <w:footnote w:id="1">
    <w:p w14:paraId="08CC71FE" w14:textId="1A228C0A" w:rsidR="00CB7A4B" w:rsidRDefault="00CB7A4B" w:rsidP="003F52E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 xml:space="preserve">У ці </w:t>
      </w:r>
      <w:r w:rsidR="003F52E3" w:rsidRPr="005157F0">
        <w:t xml:space="preserve">стовпці вносять </w:t>
      </w:r>
      <w:r>
        <w:rPr>
          <w:color w:val="000000"/>
        </w:rPr>
        <w:t>значення шкали оцінювання ЗВО-партнера або українського ЗВО, результати навчання в якому визнаються в Університеті, в пропорціях (відсотках), що відповідають чинній 100-бальній шкалі Університету</w:t>
      </w:r>
    </w:p>
  </w:footnote>
  <w:footnote w:id="2">
    <w:p w14:paraId="50F1201D" w14:textId="50B66E77" w:rsidR="00CB7A4B" w:rsidRDefault="00CB7A4B" w:rsidP="003F52E3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 xml:space="preserve">Кожен рядок відображає відповідність оцінки ЗВО-партнера або українського ЗВО, результати навчання в якому визнаються в Університеті, та 100-бальної шкали Університету, переведення до якої здійснюється з врахуванням відсоткових співвідношень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0D6B"/>
    <w:multiLevelType w:val="multilevel"/>
    <w:tmpl w:val="D9B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5139"/>
    <w:multiLevelType w:val="multilevel"/>
    <w:tmpl w:val="5E6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B4C14"/>
    <w:multiLevelType w:val="multilevel"/>
    <w:tmpl w:val="A6F2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16830"/>
    <w:multiLevelType w:val="hybridMultilevel"/>
    <w:tmpl w:val="19B46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E9"/>
    <w:rsid w:val="0000130F"/>
    <w:rsid w:val="00021612"/>
    <w:rsid w:val="000301CD"/>
    <w:rsid w:val="00043720"/>
    <w:rsid w:val="000441B8"/>
    <w:rsid w:val="00082F17"/>
    <w:rsid w:val="00084B8B"/>
    <w:rsid w:val="000F7033"/>
    <w:rsid w:val="00121186"/>
    <w:rsid w:val="0019118A"/>
    <w:rsid w:val="001B0A8B"/>
    <w:rsid w:val="001D14CF"/>
    <w:rsid w:val="00232393"/>
    <w:rsid w:val="0025183F"/>
    <w:rsid w:val="002A6555"/>
    <w:rsid w:val="002C12A9"/>
    <w:rsid w:val="002C6726"/>
    <w:rsid w:val="002D67B3"/>
    <w:rsid w:val="002E5DEF"/>
    <w:rsid w:val="002F237F"/>
    <w:rsid w:val="0038087D"/>
    <w:rsid w:val="003F52E3"/>
    <w:rsid w:val="0041638A"/>
    <w:rsid w:val="004165BD"/>
    <w:rsid w:val="00416B8C"/>
    <w:rsid w:val="00440CBC"/>
    <w:rsid w:val="004744B4"/>
    <w:rsid w:val="004943A1"/>
    <w:rsid w:val="004A2848"/>
    <w:rsid w:val="004C3B4A"/>
    <w:rsid w:val="005157F0"/>
    <w:rsid w:val="00570AEB"/>
    <w:rsid w:val="00573990"/>
    <w:rsid w:val="005947EC"/>
    <w:rsid w:val="00614574"/>
    <w:rsid w:val="00642624"/>
    <w:rsid w:val="006434E9"/>
    <w:rsid w:val="00661121"/>
    <w:rsid w:val="00670BAE"/>
    <w:rsid w:val="00673114"/>
    <w:rsid w:val="00687A44"/>
    <w:rsid w:val="00690B30"/>
    <w:rsid w:val="00690F59"/>
    <w:rsid w:val="00694E24"/>
    <w:rsid w:val="00696777"/>
    <w:rsid w:val="006A4E72"/>
    <w:rsid w:val="006A5B26"/>
    <w:rsid w:val="006F619F"/>
    <w:rsid w:val="00721581"/>
    <w:rsid w:val="00726D9D"/>
    <w:rsid w:val="00744674"/>
    <w:rsid w:val="007A1876"/>
    <w:rsid w:val="007B7B2E"/>
    <w:rsid w:val="007D4B8B"/>
    <w:rsid w:val="007E6393"/>
    <w:rsid w:val="007E6830"/>
    <w:rsid w:val="0083763C"/>
    <w:rsid w:val="0084072E"/>
    <w:rsid w:val="00842B0A"/>
    <w:rsid w:val="008526FD"/>
    <w:rsid w:val="00865CC9"/>
    <w:rsid w:val="00871E12"/>
    <w:rsid w:val="00876A72"/>
    <w:rsid w:val="008864D7"/>
    <w:rsid w:val="00890223"/>
    <w:rsid w:val="00897839"/>
    <w:rsid w:val="008B4EBC"/>
    <w:rsid w:val="008B6853"/>
    <w:rsid w:val="008E03C6"/>
    <w:rsid w:val="00903CAA"/>
    <w:rsid w:val="00906C62"/>
    <w:rsid w:val="009527F8"/>
    <w:rsid w:val="00952A70"/>
    <w:rsid w:val="00966E6F"/>
    <w:rsid w:val="00992AFC"/>
    <w:rsid w:val="009C185A"/>
    <w:rsid w:val="009C273A"/>
    <w:rsid w:val="009C6EB6"/>
    <w:rsid w:val="00A20B53"/>
    <w:rsid w:val="00A2603D"/>
    <w:rsid w:val="00A4797A"/>
    <w:rsid w:val="00A600F9"/>
    <w:rsid w:val="00AB4922"/>
    <w:rsid w:val="00AF05CC"/>
    <w:rsid w:val="00B23351"/>
    <w:rsid w:val="00B23A92"/>
    <w:rsid w:val="00BB2226"/>
    <w:rsid w:val="00BB30CE"/>
    <w:rsid w:val="00BE3A4E"/>
    <w:rsid w:val="00BF2A32"/>
    <w:rsid w:val="00C026E3"/>
    <w:rsid w:val="00C15F5D"/>
    <w:rsid w:val="00C47BFB"/>
    <w:rsid w:val="00CA4189"/>
    <w:rsid w:val="00CB7A4B"/>
    <w:rsid w:val="00CC0F89"/>
    <w:rsid w:val="00CE6FBE"/>
    <w:rsid w:val="00CF51FD"/>
    <w:rsid w:val="00CF6D4E"/>
    <w:rsid w:val="00D46546"/>
    <w:rsid w:val="00DD30F4"/>
    <w:rsid w:val="00DD7D46"/>
    <w:rsid w:val="00E1286A"/>
    <w:rsid w:val="00E21B0D"/>
    <w:rsid w:val="00E27F96"/>
    <w:rsid w:val="00E5648F"/>
    <w:rsid w:val="00EC4C75"/>
    <w:rsid w:val="00ED665B"/>
    <w:rsid w:val="00FA5AB4"/>
    <w:rsid w:val="00FB15C9"/>
    <w:rsid w:val="00FB7A08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FA3C"/>
  <w15:chartTrackingRefBased/>
  <w15:docId w15:val="{FE72FE6A-C5D0-4F9A-9D11-550460D1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4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4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434E9"/>
  </w:style>
  <w:style w:type="character" w:styleId="a4">
    <w:name w:val="Hyperlink"/>
    <w:basedOn w:val="a0"/>
    <w:uiPriority w:val="99"/>
    <w:semiHidden/>
    <w:unhideWhenUsed/>
    <w:rsid w:val="006434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6C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15C9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903CAA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903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03CAA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CB7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c">
    <w:name w:val="Основний текст Знак"/>
    <w:basedOn w:val="a0"/>
    <w:link w:val="ab"/>
    <w:uiPriority w:val="99"/>
    <w:semiHidden/>
    <w:rsid w:val="00CB7A4B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d">
    <w:name w:val="annotation reference"/>
    <w:basedOn w:val="a0"/>
    <w:uiPriority w:val="99"/>
    <w:semiHidden/>
    <w:unhideWhenUsed/>
    <w:rsid w:val="008B68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6853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8B685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6853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8B6853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DD3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8641-CD1C-443D-A880-5D7DDB0B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15621</Words>
  <Characters>8904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2025-08-04T12:40:00Z</dcterms:created>
  <dcterms:modified xsi:type="dcterms:W3CDTF">2025-08-05T14:01:00Z</dcterms:modified>
</cp:coreProperties>
</file>