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B8EC" w14:textId="77777777" w:rsidR="000A01AE" w:rsidRDefault="004757EB" w:rsidP="003C6A84">
      <w:pPr>
        <w:pStyle w:val="a5"/>
        <w:spacing w:line="276" w:lineRule="auto"/>
        <w:ind w:left="35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94309436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45A11EBE" w14:textId="77777777" w:rsidR="000A01AE" w:rsidRDefault="004757EB" w:rsidP="003C6A84">
      <w:pPr>
        <w:pStyle w:val="a5"/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до наказу «Про затвердження </w:t>
      </w:r>
      <w:r w:rsidRPr="00C53D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Порядку погодження (візування) </w:t>
      </w:r>
      <w:proofErr w:type="spellStart"/>
      <w:r w:rsidRPr="00C53D77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Pr="00C53D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актів </w:t>
      </w:r>
    </w:p>
    <w:p w14:paraId="4675E823" w14:textId="77777777" w:rsidR="000A01AE" w:rsidRDefault="004757EB" w:rsidP="003C6A84">
      <w:pPr>
        <w:pStyle w:val="a5"/>
        <w:spacing w:line="276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Pr="00C53D7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Національному технічному університеті України </w:t>
      </w:r>
    </w:p>
    <w:p w14:paraId="62E2443C" w14:textId="34575EC2" w:rsidR="004757EB" w:rsidRPr="00C53D77" w:rsidRDefault="004757EB" w:rsidP="003C6A84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“Київський політехнічний інститут імені Ігоря Сікорського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”»</w:t>
      </w:r>
    </w:p>
    <w:bookmarkEnd w:id="0"/>
    <w:p w14:paraId="1D056CE7" w14:textId="77777777" w:rsidR="004757EB" w:rsidRPr="00C53D77" w:rsidRDefault="004757EB" w:rsidP="003C6A84">
      <w:pPr>
        <w:pStyle w:val="a5"/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6F4A0B8" w14:textId="77777777" w:rsidR="004757EB" w:rsidRPr="00C53D77" w:rsidRDefault="004757EB" w:rsidP="003C6A8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C5561F" w14:textId="77777777" w:rsidR="004757EB" w:rsidRPr="00C53D77" w:rsidRDefault="004757EB" w:rsidP="003C6A8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EBABB4" w14:textId="45220797" w:rsidR="004757EB" w:rsidRPr="00C53D77" w:rsidRDefault="004757EB" w:rsidP="003C6A8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58A0399" w14:textId="401EA16A" w:rsidR="004757EB" w:rsidRPr="00C53D77" w:rsidRDefault="004757EB" w:rsidP="003C6A8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233273" w14:textId="4B5368E7" w:rsidR="004757EB" w:rsidRPr="00C53D77" w:rsidRDefault="004757EB" w:rsidP="003C6A8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EC3AF6" w14:textId="736AFF55" w:rsidR="004757EB" w:rsidRPr="00C53D77" w:rsidRDefault="004757EB" w:rsidP="003C6A8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D24B40" w14:textId="77777777" w:rsidR="004757EB" w:rsidRPr="00C53D77" w:rsidRDefault="004757EB" w:rsidP="003C6A8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81DAB1" w14:textId="33AFA266" w:rsidR="004757EB" w:rsidRPr="00C53D77" w:rsidRDefault="004757EB" w:rsidP="003C6A8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F604AF" w14:textId="77777777" w:rsidR="004757EB" w:rsidRPr="00C53D77" w:rsidRDefault="004757EB" w:rsidP="003C6A8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7EA8C7" w14:textId="77777777" w:rsidR="004757EB" w:rsidRPr="00C53D77" w:rsidRDefault="004757EB" w:rsidP="003C6A8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191611" w14:textId="77777777" w:rsidR="004757EB" w:rsidRPr="00C53D77" w:rsidRDefault="004757EB" w:rsidP="003C6A8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1044FD" w14:textId="77777777" w:rsidR="000A01AE" w:rsidRDefault="004757EB" w:rsidP="003C6A8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ПОРЯДОК ПОГОДЖЕННЯ (ВІЗУВАННЯ) ПРОЄКТІВ АКТІВ </w:t>
      </w:r>
    </w:p>
    <w:p w14:paraId="15B594CA" w14:textId="24600970" w:rsidR="00F861B3" w:rsidRPr="00C53D77" w:rsidRDefault="004757EB" w:rsidP="003C6A8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 </w:t>
      </w:r>
      <w:r w:rsidRPr="00C53D77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НАЦІОНАЛЬНОМУ ТЕХНІЧНОМУ УНІВЕРСИТЕТІ УКРАЇНИ «КИЇВСЬКИЙ ПОЛІТЕХНІЧНИЙ ІНСТИТУТ</w:t>
      </w:r>
    </w:p>
    <w:p w14:paraId="2960600F" w14:textId="6AC80004" w:rsidR="004A307E" w:rsidRPr="00C53D77" w:rsidRDefault="004757EB" w:rsidP="003C6A8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3D77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ІМЕНІ ІГОРЯ СІКОРСЬКОГО</w:t>
      </w: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DB24E6A" w14:textId="7777777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1E2E71" w14:textId="7777777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2B471A" w14:textId="7777777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692CAB" w14:textId="7777777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B4E78F" w14:textId="7777777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D6C906" w14:textId="7777777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59733E" w14:textId="7777777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BE041" w14:textId="7777777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317EE8" w14:textId="7777777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6939CE" w14:textId="7777777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026109" w14:textId="7777777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742F65" w14:textId="7777777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57C951" w14:textId="7777777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6AF430" w14:textId="7777777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B4AD40" w14:textId="7777777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5E685C" w14:textId="569ECF6D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885D32" w14:textId="7B6BFD69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E59276" w14:textId="2EAE2D0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023C15" w14:textId="4FC7E9F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6777C8" w14:textId="77777777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4FB840" w14:textId="3F5C5501" w:rsidR="004757EB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9DB1CA" w14:textId="5B76474E" w:rsidR="00E9633D" w:rsidRPr="00C53D77" w:rsidRDefault="004757EB" w:rsidP="003C6A8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КИЇВ 2026</w:t>
      </w:r>
    </w:p>
    <w:p w14:paraId="6C0C450B" w14:textId="4EE98B9C" w:rsidR="004A307E" w:rsidRPr="00C53D77" w:rsidRDefault="004757EB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ЗАГАЛЬНІ ПОЛОЖЕННЯ</w:t>
      </w:r>
    </w:p>
    <w:p w14:paraId="60CDE35B" w14:textId="054558E8" w:rsidR="004F2D7C" w:rsidRPr="00C53D77" w:rsidRDefault="004F2D7C" w:rsidP="003C6A84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1.1. Порядок погодження (візування)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актів у </w:t>
      </w:r>
      <w:r w:rsidR="004757EB" w:rsidRPr="00C53D7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Національному технічному університеті України «Київський політехнічний інститут </w:t>
      </w:r>
      <w:r w:rsidR="004757EB" w:rsidRPr="00C53D7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br/>
        <w:t>імені Ігоря Сікорського</w:t>
      </w:r>
      <w:r w:rsidR="004757EB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(далі – Порядок) визначає процедуру внутрішнього погодження (візування)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актів </w:t>
      </w:r>
      <w:r w:rsidR="00F861B3" w:rsidRPr="00C53D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7EB" w:rsidRPr="00C53D77">
        <w:rPr>
          <w:rFonts w:ascii="Times New Roman" w:hAnsi="Times New Roman" w:cs="Times New Roman"/>
          <w:sz w:val="28"/>
          <w:szCs w:val="28"/>
          <w:lang w:val="uk-UA"/>
        </w:rPr>
        <w:t>КПІ ім. Ігоря Сікорського (далі – Університет)</w:t>
      </w:r>
      <w:r w:rsidR="00BE10AE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та відповідальність за неналежне її виконання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DF7F02" w14:textId="5EEF17B7" w:rsidR="00613674" w:rsidRPr="00C53D77" w:rsidRDefault="00613674" w:rsidP="003C6A84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1.2. Дія цього Порядку поширюється на всі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актів організаційно-розпорядчого та нормативного характеру в </w:t>
      </w:r>
      <w:r w:rsidR="004757EB" w:rsidRPr="00C53D77">
        <w:rPr>
          <w:rFonts w:ascii="Times New Roman" w:hAnsi="Times New Roman" w:cs="Times New Roman"/>
          <w:sz w:val="28"/>
          <w:szCs w:val="28"/>
          <w:lang w:val="uk-UA"/>
        </w:rPr>
        <w:t>Університеті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, зокрема накази, розпорядження</w:t>
      </w:r>
      <w:r w:rsidR="000102D4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та інші внутрішні акти</w:t>
      </w:r>
      <w:r w:rsidR="00BE10AE" w:rsidRPr="00C53D77">
        <w:rPr>
          <w:rFonts w:ascii="Times New Roman" w:hAnsi="Times New Roman" w:cs="Times New Roman"/>
          <w:sz w:val="28"/>
          <w:szCs w:val="28"/>
          <w:lang w:val="uk-UA"/>
        </w:rPr>
        <w:t>, які видаються ректором чи проректорами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71CBDC" w14:textId="1178B0AF" w:rsidR="00BE10AE" w:rsidRPr="00C53D77" w:rsidRDefault="00736D37" w:rsidP="003C6A84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>1.3</w:t>
      </w:r>
      <w:r w:rsidR="00167465" w:rsidRPr="00C53D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746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E10AE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 (візування) </w:t>
      </w:r>
      <w:proofErr w:type="spellStart"/>
      <w:r w:rsidR="00BE10AE" w:rsidRPr="00C53D7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BE10AE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актів здійснюється на засадах законності, обґрунтованості, розмежування </w:t>
      </w:r>
      <w:r w:rsidR="00287D95">
        <w:rPr>
          <w:rFonts w:ascii="Times New Roman" w:hAnsi="Times New Roman" w:cs="Times New Roman"/>
          <w:sz w:val="28"/>
          <w:szCs w:val="28"/>
          <w:lang w:val="uk-UA"/>
        </w:rPr>
        <w:t>компетенції</w:t>
      </w:r>
      <w:r w:rsidR="00BE10AE" w:rsidRPr="00C53D77">
        <w:rPr>
          <w:rFonts w:ascii="Times New Roman" w:hAnsi="Times New Roman" w:cs="Times New Roman"/>
          <w:sz w:val="28"/>
          <w:szCs w:val="28"/>
          <w:lang w:val="uk-UA"/>
        </w:rPr>
        <w:t>, недопущення конфлікту інтересів та персональної відповідальності суб’єктів погодження (візування).</w:t>
      </w:r>
    </w:p>
    <w:p w14:paraId="0C6815A5" w14:textId="5E1EF447" w:rsidR="00736D37" w:rsidRPr="00C53D77" w:rsidRDefault="00BE10AE" w:rsidP="003C6A84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r w:rsidR="00736D37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Цей Порядок, зміни </w:t>
      </w:r>
      <w:r w:rsidR="0016746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36D37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доповнення</w:t>
      </w:r>
      <w:r w:rsidR="002930AC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736D37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нього затверджуються наказом ректора в установленому порядку та є обов’язковим д</w:t>
      </w:r>
      <w:r w:rsidR="00D73C81" w:rsidRPr="00C53D77">
        <w:rPr>
          <w:rFonts w:ascii="Times New Roman" w:hAnsi="Times New Roman" w:cs="Times New Roman"/>
          <w:sz w:val="28"/>
          <w:szCs w:val="28"/>
          <w:lang w:val="uk-UA"/>
        </w:rPr>
        <w:t>ля</w:t>
      </w:r>
      <w:r w:rsidR="00736D37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всіма суб’єктами погодження (візування) </w:t>
      </w:r>
      <w:proofErr w:type="spellStart"/>
      <w:r w:rsidR="00736D37" w:rsidRPr="00C53D7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736D37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актів.</w:t>
      </w:r>
    </w:p>
    <w:p w14:paraId="04A663FA" w14:textId="77777777" w:rsidR="00D629E3" w:rsidRPr="00C53D77" w:rsidRDefault="00D629E3" w:rsidP="003C6A84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D109FA" w14:textId="540AD025" w:rsidR="00C81CDB" w:rsidRPr="00C53D77" w:rsidRDefault="004757EB" w:rsidP="003C6A84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67465" w:rsidRPr="00C53D7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67465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СУБ’ЄКТИ ПОГОДЖЕННЯ (ВІЗУВАННЯ)</w:t>
      </w:r>
      <w:r w:rsidR="007A0E0D" w:rsidRPr="00C53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</w:t>
      </w:r>
      <w:r w:rsidR="006712BE" w:rsidRPr="00C53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ЇХНЯ КОМПЕТЕНЦІЯ</w:t>
      </w:r>
    </w:p>
    <w:p w14:paraId="6A3D3455" w14:textId="54D17151" w:rsidR="00927C8E" w:rsidRPr="00C53D77" w:rsidRDefault="00927C8E" w:rsidP="003C6A84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2.1. Погодження (візування)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актів</w:t>
      </w:r>
      <w:r w:rsidR="009F7D4F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КПІ ім. Ігоря Сікорського здійснюється уповноваженими посадовими особами залежно від предмет</w:t>
      </w:r>
      <w:r w:rsidR="001B5DA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регулювання, змісту та сфери застосування відповідного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62A4B4" w14:textId="1AC66653" w:rsidR="00691E91" w:rsidRPr="00C53D77" w:rsidRDefault="00134904" w:rsidP="003C6A84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B71314" w:rsidRPr="00C53D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131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91E91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До суб’єктів погодження (візування) </w:t>
      </w:r>
      <w:r w:rsidR="00594B99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та їхньої компетенції у процедурі внутрішнього погодження (візування) </w:t>
      </w:r>
      <w:proofErr w:type="spellStart"/>
      <w:r w:rsidR="00594B99" w:rsidRPr="00C53D7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594B99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актів в </w:t>
      </w:r>
      <w:r w:rsidR="009F7D4F" w:rsidRPr="00C53D77">
        <w:rPr>
          <w:rFonts w:ascii="Times New Roman" w:hAnsi="Times New Roman" w:cs="Times New Roman"/>
          <w:sz w:val="28"/>
          <w:szCs w:val="28"/>
          <w:lang w:val="uk-UA"/>
        </w:rPr>
        <w:t>Університеті</w:t>
      </w:r>
      <w:r w:rsidR="00691E91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належать:</w:t>
      </w:r>
      <w:r w:rsidR="006712BE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6855E40" w14:textId="4A0DC252" w:rsidR="00594B99" w:rsidRPr="00C53D77" w:rsidRDefault="00594B99" w:rsidP="003C6A84">
      <w:pPr>
        <w:pStyle w:val="a3"/>
        <w:numPr>
          <w:ilvl w:val="2"/>
          <w:numId w:val="4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структурного підрозділу – ініціатор (розробник) </w:t>
      </w:r>
      <w:proofErr w:type="spellStart"/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  <w:r w:rsidR="00D27C29" w:rsidRPr="00C53D7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– здійснює погодження (візування)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D27C29" w:rsidRPr="00C53D7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>, чим підтверджу</w:t>
      </w:r>
      <w:r w:rsidR="00B7131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готовність документ</w:t>
      </w:r>
      <w:r w:rsidR="00B7131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розгляду;</w:t>
      </w:r>
    </w:p>
    <w:p w14:paraId="757DBA27" w14:textId="5080356D" w:rsidR="00594B99" w:rsidRPr="00C53D77" w:rsidRDefault="00594B99" w:rsidP="003C6A84">
      <w:pPr>
        <w:pStyle w:val="a3"/>
        <w:numPr>
          <w:ilvl w:val="2"/>
          <w:numId w:val="4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департамент управління справами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– здійснює погодження (візування) з метою перевірки </w:t>
      </w:r>
      <w:proofErr w:type="spellStart"/>
      <w:r w:rsidR="00FA7CB0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FA7C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7CB0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FA7C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на предмет відповідності стандартам </w:t>
      </w:r>
      <w:r w:rsidR="00FA7CB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вимогам документообігу, а також перевірки коректності визначення маршруту погодження</w:t>
      </w:r>
      <w:r w:rsidR="00367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FA7CB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5B6293" w14:textId="2FB3136A" w:rsidR="00594B99" w:rsidRPr="00C53D77" w:rsidRDefault="00594B99" w:rsidP="003C6A84">
      <w:pPr>
        <w:pStyle w:val="a3"/>
        <w:numPr>
          <w:ilvl w:val="2"/>
          <w:numId w:val="4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заінтересовані структурні підрозділи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– здійснюють погодження (візування)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D27C29" w:rsidRPr="00C53D7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206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виключно </w:t>
      </w:r>
      <w:r w:rsidR="00FA7CB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разі </w:t>
      </w:r>
      <w:r w:rsidR="00FA7CB0">
        <w:rPr>
          <w:rFonts w:ascii="Times New Roman" w:hAnsi="Times New Roman" w:cs="Times New Roman"/>
          <w:sz w:val="28"/>
          <w:szCs w:val="28"/>
          <w:lang w:val="uk-UA"/>
        </w:rPr>
        <w:t xml:space="preserve">потреби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їхнього погодження</w:t>
      </w:r>
      <w:r w:rsidR="00FA7CB0">
        <w:rPr>
          <w:rFonts w:ascii="Times New Roman" w:hAnsi="Times New Roman" w:cs="Times New Roman"/>
          <w:sz w:val="28"/>
          <w:szCs w:val="28"/>
          <w:lang w:val="uk-UA"/>
        </w:rPr>
        <w:t xml:space="preserve"> (візування)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вимог чинного законодавства та нормативної бази Університету;</w:t>
      </w:r>
    </w:p>
    <w:p w14:paraId="13E19DB6" w14:textId="4A051BFB" w:rsidR="00594B99" w:rsidRPr="00C53D77" w:rsidRDefault="00594B99" w:rsidP="003C6A84">
      <w:pPr>
        <w:pStyle w:val="a3"/>
        <w:numPr>
          <w:ilvl w:val="2"/>
          <w:numId w:val="4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управління бухгалтерського обліку та звітності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– здійснює погодження (візування)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актів</w:t>
      </w:r>
      <w:r w:rsidRPr="00C53D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містять фінансові зобов’язання, передбачають використання коштів, стосуються оплати праці (премії, надбавки, </w:t>
      </w:r>
      <w:r w:rsidRPr="00C53D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доплати), містять кошториси, фінансові розрахунки, акти, накладні, платіжні документи, пов’язані з бухгалтерським обліком і звітністю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516C0FC8" w14:textId="209341B5" w:rsidR="00594B99" w:rsidRPr="00C53D77" w:rsidRDefault="006E023C" w:rsidP="003C6A84">
      <w:pPr>
        <w:pStyle w:val="a3"/>
        <w:numPr>
          <w:ilvl w:val="2"/>
          <w:numId w:val="4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профспілковий комітет первинної профспілкової організації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– здійснює погодження (візування)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актів у межах повноважень, визначених законодавством України, Колективним договором КПІ ім. Ігоря Сікорського, виключно у випадках, коли зміст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стосується трудових та соціально-економічних прав працівників, а саме щодо: перегляду та змін норм оплати праці; охорони та умов праці; робочого часу та часу відпочинку; тарифних ставок та посадових окладів; умов запровадження та розмірів надбавок, доплат, премій, винагород, інших заохочувальних, компенсаційних виплат; матеріально-побутового та медичного обслуговування працівників Університету;</w:t>
      </w:r>
      <w:r w:rsidR="00594B99" w:rsidRPr="00C53D7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</w:p>
    <w:p w14:paraId="39A63C21" w14:textId="4F409E14" w:rsidR="00594B99" w:rsidRPr="00C53D77" w:rsidRDefault="00594B99" w:rsidP="003C6A84">
      <w:pPr>
        <w:pStyle w:val="a3"/>
        <w:numPr>
          <w:ilvl w:val="2"/>
          <w:numId w:val="4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 студентського самоврядування, профком студентів –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здійснює погодження (візування) наступних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актів: про відрахування студентів з </w:t>
      </w:r>
      <w:r w:rsidR="009F7D4F" w:rsidRPr="00C53D77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та їх поновлення на навчання; про переведення осіб, які навчаються </w:t>
      </w:r>
      <w:r w:rsidR="009F7D4F" w:rsidRPr="00C53D7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D4F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Університеті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за державним замовленням, на навчання за контрактом за рахунок коштів фізичних (юридичних) осіб; про переведення осіб, які навчаються </w:t>
      </w:r>
      <w:r w:rsidR="009F7D4F" w:rsidRPr="00C53D77">
        <w:rPr>
          <w:rFonts w:ascii="Times New Roman" w:hAnsi="Times New Roman" w:cs="Times New Roman"/>
          <w:sz w:val="28"/>
          <w:szCs w:val="28"/>
          <w:lang w:val="uk-UA"/>
        </w:rPr>
        <w:t>в Університеті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коштів фізичних (юридичних) осіб, на навчання за державним замовленням; про призначення заступника декана факультету, заступника директора інституту, проректора </w:t>
      </w:r>
      <w:r w:rsidR="009F7D4F" w:rsidRPr="00C53D77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; про поселення осіб, які навчаються </w:t>
      </w:r>
      <w:r w:rsidR="009F7D4F" w:rsidRPr="00C53D77">
        <w:rPr>
          <w:rFonts w:ascii="Times New Roman" w:hAnsi="Times New Roman" w:cs="Times New Roman"/>
          <w:sz w:val="28"/>
          <w:szCs w:val="28"/>
          <w:lang w:val="uk-UA"/>
        </w:rPr>
        <w:t>в Університеті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, у гуртожиток і виселення їх із гуртожитку; про затвердження правил внутрішнього розпорядку </w:t>
      </w:r>
      <w:r w:rsidR="009F7D4F" w:rsidRPr="00C53D77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в частині, що стосується осіб, які навчаються; про діяльність студентського містечка та гуртожитків для проживання осіб, які навчаються </w:t>
      </w:r>
      <w:r w:rsidR="009F7D4F" w:rsidRPr="00C53D77">
        <w:rPr>
          <w:rFonts w:ascii="Times New Roman" w:hAnsi="Times New Roman" w:cs="Times New Roman"/>
          <w:sz w:val="28"/>
          <w:szCs w:val="28"/>
          <w:lang w:val="uk-UA"/>
        </w:rPr>
        <w:t>в Університеті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395D9AFA" w14:textId="158F75E0" w:rsidR="00594B99" w:rsidRPr="00C53D77" w:rsidRDefault="00594B99" w:rsidP="003C6A84">
      <w:pPr>
        <w:pStyle w:val="a3"/>
        <w:numPr>
          <w:ilvl w:val="2"/>
          <w:numId w:val="4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юридичне управління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– здійснює погодження (візування) всіх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актів, які не є типовими, з метою перевірки на предмет відповідності чинному законодавству</w:t>
      </w:r>
      <w:r w:rsidR="004E75EB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та нормативній базі Університету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; типові акти затверджуються окремими наказами, </w:t>
      </w:r>
      <w:r w:rsidR="00FA7CB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яких прямо </w:t>
      </w:r>
      <w:r w:rsidR="004E75EB" w:rsidRPr="00C53D77">
        <w:rPr>
          <w:rFonts w:ascii="Times New Roman" w:hAnsi="Times New Roman" w:cs="Times New Roman"/>
          <w:sz w:val="28"/>
          <w:szCs w:val="28"/>
          <w:lang w:val="uk-UA"/>
        </w:rPr>
        <w:t>вказана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бланкетна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норма, яка передбачає, що </w:t>
      </w:r>
      <w:r w:rsidR="00D27C29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 (візування)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992086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типової форми прирівнюється до </w:t>
      </w:r>
      <w:r w:rsidR="00D27C29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 (візування)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кожного документ</w:t>
      </w:r>
      <w:r w:rsidR="0099208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, складеного згідно </w:t>
      </w:r>
      <w:r w:rsidR="004E75EB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типово</w:t>
      </w:r>
      <w:r w:rsidR="004E75EB" w:rsidRPr="00C53D7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форм</w:t>
      </w:r>
      <w:r w:rsidR="004E75EB" w:rsidRPr="00C53D77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0F2C41" w14:textId="02C8B9F8" w:rsidR="00594B99" w:rsidRPr="00C53D77" w:rsidRDefault="00594B99" w:rsidP="003C6A84">
      <w:pPr>
        <w:pStyle w:val="a3"/>
        <w:numPr>
          <w:ilvl w:val="2"/>
          <w:numId w:val="4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відділ з питань запобігання та виявлення корупції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– здійснює </w:t>
      </w:r>
      <w:r w:rsidR="00D27C29" w:rsidRPr="00C53D77">
        <w:rPr>
          <w:rFonts w:ascii="Times New Roman" w:hAnsi="Times New Roman" w:cs="Times New Roman"/>
          <w:sz w:val="28"/>
          <w:szCs w:val="28"/>
          <w:lang w:val="uk-UA"/>
        </w:rPr>
        <w:t>погодження (візування)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актів з основної діяльності, адміністративно-господарських питань, кадрових питань (особового складу) залежно від їх видів, відповідно до вимог чинного законодавства та положення про відділ; здійснює перевірку</w:t>
      </w:r>
      <w:r w:rsidR="00127825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зазначених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127825" w:rsidRPr="00C53D77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</w:t>
      </w:r>
      <w:r w:rsidR="00127825" w:rsidRPr="00C53D7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на предмет виявлення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корупціогенних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факторів</w:t>
      </w:r>
      <w:r w:rsidR="00F76371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відповідності антикорупційному законодавству</w:t>
      </w:r>
      <w:r w:rsidR="00F76371">
        <w:rPr>
          <w:rFonts w:ascii="Times New Roman" w:hAnsi="Times New Roman" w:cs="Times New Roman"/>
          <w:sz w:val="28"/>
          <w:szCs w:val="28"/>
          <w:lang w:val="uk-UA"/>
        </w:rPr>
        <w:t xml:space="preserve"> з метою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 прийняттю рішень, що створюють умови для корупційних правопорушень;</w:t>
      </w:r>
    </w:p>
    <w:p w14:paraId="31DFFB42" w14:textId="4AD495DC" w:rsidR="00594B99" w:rsidRPr="00C53D77" w:rsidRDefault="00594B99" w:rsidP="003C6A84">
      <w:pPr>
        <w:pStyle w:val="a3"/>
        <w:numPr>
          <w:ilvl w:val="2"/>
          <w:numId w:val="4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профільний проректор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– здійснює погодження (візування)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127825" w:rsidRPr="00C53D77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</w:t>
      </w:r>
      <w:r w:rsidR="00127825" w:rsidRPr="00C53D7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компетенції за функціональними обов’язками, дорученням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ректора та с</w:t>
      </w:r>
      <w:r w:rsidR="0073527D">
        <w:rPr>
          <w:rFonts w:ascii="Times New Roman" w:hAnsi="Times New Roman" w:cs="Times New Roman"/>
          <w:sz w:val="28"/>
          <w:szCs w:val="28"/>
          <w:lang w:val="uk-UA"/>
        </w:rPr>
        <w:t>истемою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КПІ ім. Ігоря Сікорського. Погодження (візування) проректором свідчить про те, що він попередньо розглянув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на стадії його підготовки підпорядкованим </w:t>
      </w:r>
      <w:r w:rsidR="00F76371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структурним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підрозділом та схвалив його зміст, </w:t>
      </w:r>
      <w:r w:rsidR="00F76371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наведена </w:t>
      </w:r>
      <w:r w:rsidR="00F7637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 інформація </w:t>
      </w:r>
      <w:r w:rsidR="00F61A5E" w:rsidRPr="00C53D77">
        <w:rPr>
          <w:rFonts w:ascii="Times New Roman" w:hAnsi="Times New Roman" w:cs="Times New Roman"/>
          <w:sz w:val="28"/>
          <w:szCs w:val="28"/>
          <w:lang w:val="uk-UA"/>
        </w:rPr>
        <w:t>є достовірною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, а також підтверджує необхідність та доцільність затвердження цього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F61A5E" w:rsidRPr="00C53D7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. Якщо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регулює питання, що належать до сфер відповідальності кількох проректорів, такий документ підлягає послідовному погодженню (візуванню) кожним із них</w:t>
      </w:r>
      <w:r w:rsidR="002930AC" w:rsidRPr="00C53D77">
        <w:rPr>
          <w:rFonts w:ascii="Times New Roman" w:hAnsi="Times New Roman" w:cs="Times New Roman"/>
          <w:sz w:val="28"/>
          <w:szCs w:val="28"/>
          <w:lang w:val="uk-UA"/>
        </w:rPr>
        <w:t>, при цьому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0AC" w:rsidRPr="00C53D7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статочне </w:t>
      </w:r>
      <w:r w:rsidR="00D27C29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 (візування)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(перед підпис</w:t>
      </w:r>
      <w:r w:rsidR="00F61A5E" w:rsidRPr="00C53D77">
        <w:rPr>
          <w:rFonts w:ascii="Times New Roman" w:hAnsi="Times New Roman" w:cs="Times New Roman"/>
          <w:sz w:val="28"/>
          <w:szCs w:val="28"/>
          <w:lang w:val="uk-UA"/>
        </w:rPr>
        <w:t>анням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ректор</w:t>
      </w:r>
      <w:r w:rsidR="00F61A5E" w:rsidRPr="00C53D77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) здійснює проректор, до основної компетенції якого належить предмет регулювання відповідного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50A8417" w14:textId="1BC14CAB" w:rsidR="00691E91" w:rsidRPr="00C53D77" w:rsidRDefault="005B3ED9" w:rsidP="003C6A84">
      <w:pPr>
        <w:tabs>
          <w:tab w:val="left" w:pos="1134"/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94B99" w:rsidRPr="00C53D7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. Залучення конкретних суб’єктів погодження (візування) визначається з урахуванням змісту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>, його правових наслідків та належності до відповідної сфери регулювання.</w:t>
      </w:r>
    </w:p>
    <w:p w14:paraId="4ADAA02D" w14:textId="77777777" w:rsidR="00D629E3" w:rsidRPr="00C53D77" w:rsidRDefault="00D629E3" w:rsidP="003C6A84">
      <w:pPr>
        <w:tabs>
          <w:tab w:val="left" w:pos="1134"/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06DDC5" w14:textId="6671F66C" w:rsidR="00F320F8" w:rsidRPr="00C53D77" w:rsidRDefault="00876EDD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3. ФОРМА ТА СПОСІБ ПОГОДЖЕННЯ (ВІЗУВАННЯ) ПРОЄКТІВ АКТІВ</w:t>
      </w:r>
    </w:p>
    <w:p w14:paraId="540E187E" w14:textId="12D1719B" w:rsidR="00F320F8" w:rsidRPr="00C53D77" w:rsidRDefault="00F320F8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3.1. Погодження (візування)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актів здійснюється, як правило, в електронній формі через систему електронного документообігу «Мегаполіс» </w:t>
      </w:r>
      <w:r w:rsidR="00134B38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(далі – СЕД «Мегаполіс»)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відповідно до вимог законодавства України та внутрішніх актів</w:t>
      </w:r>
      <w:r w:rsidR="00876EDD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з організації діловодства.</w:t>
      </w:r>
    </w:p>
    <w:p w14:paraId="3BCE7796" w14:textId="3C40A498" w:rsidR="00F320F8" w:rsidRPr="00C53D77" w:rsidRDefault="00F320F8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="007E0AE0" w:rsidRPr="00C53D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E0AE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Погодження</w:t>
      </w:r>
      <w:r w:rsidR="00367D45">
        <w:rPr>
          <w:rFonts w:ascii="Times New Roman" w:hAnsi="Times New Roman" w:cs="Times New Roman"/>
          <w:sz w:val="28"/>
          <w:szCs w:val="28"/>
          <w:lang w:val="uk-UA"/>
        </w:rPr>
        <w:t xml:space="preserve"> (візування)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6EDD"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в електронній формі здійснюється засоб</w:t>
      </w:r>
      <w:r w:rsidR="00876EDD" w:rsidRPr="00C53D77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електронної ідентифікації</w:t>
      </w:r>
      <w:r w:rsidR="00134B38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у СЕД «Мегаполіс»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579E0E" w14:textId="593CB83C" w:rsidR="006B1135" w:rsidRPr="00C53D77" w:rsidRDefault="006B1135" w:rsidP="003C6A84">
      <w:pPr>
        <w:tabs>
          <w:tab w:val="left" w:pos="1134"/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>3.3</w:t>
      </w:r>
      <w:r w:rsidR="00F76371" w:rsidRPr="00C53D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7637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C6942">
        <w:rPr>
          <w:rFonts w:ascii="Times New Roman" w:hAnsi="Times New Roman" w:cs="Times New Roman"/>
          <w:sz w:val="28"/>
          <w:szCs w:val="28"/>
          <w:lang w:val="uk-UA"/>
        </w:rPr>
        <w:t xml:space="preserve">Ініціатор (розробник) </w:t>
      </w:r>
      <w:proofErr w:type="spellStart"/>
      <w:r w:rsidRPr="005C6942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5C69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6942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завантажує його в СЕД «Мегаполіс», визначає послідовність погодження (візування) згідно </w:t>
      </w:r>
      <w:r w:rsidR="004E75EB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п. 5.1 цього Порядку, враховуючи </w:t>
      </w:r>
      <w:r w:rsidR="00F61A5E" w:rsidRPr="00C53D77">
        <w:rPr>
          <w:rFonts w:ascii="Times New Roman" w:hAnsi="Times New Roman" w:cs="Times New Roman"/>
          <w:sz w:val="28"/>
          <w:szCs w:val="28"/>
          <w:lang w:val="uk-UA"/>
        </w:rPr>
        <w:t>компетенцію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суб’єктів погодження (візування), визначен</w:t>
      </w:r>
      <w:r w:rsidR="00F7637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B99" w:rsidRPr="00C53D77">
        <w:rPr>
          <w:rFonts w:ascii="Times New Roman" w:hAnsi="Times New Roman" w:cs="Times New Roman"/>
          <w:sz w:val="28"/>
          <w:szCs w:val="28"/>
          <w:lang w:val="uk-UA"/>
        </w:rPr>
        <w:t>п. 2.2 цього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Порядк</w:t>
      </w:r>
      <w:r w:rsidR="00594B99" w:rsidRPr="00C53D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26A9A8" w14:textId="70009402" w:rsidR="00134B38" w:rsidRPr="005C6942" w:rsidRDefault="00F320F8" w:rsidP="005C69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942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B1135" w:rsidRPr="005C694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C694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C6942" w:rsidRPr="005C6942">
        <w:rPr>
          <w:rFonts w:ascii="Times New Roman" w:hAnsi="Times New Roman" w:cs="Times New Roman"/>
          <w:sz w:val="28"/>
          <w:szCs w:val="28"/>
          <w:lang w:val="uk-UA"/>
        </w:rPr>
        <w:t xml:space="preserve">В окремих випадках, зумовлених вимогами чинного законодавства або технічною неможливістю використання СЕД «Мегаполіс», погодження (візування) може здійснюватися у паперовій формі шляхом проставлення уповноваженою посадовою особою на друкованому примірнику </w:t>
      </w:r>
      <w:proofErr w:type="spellStart"/>
      <w:r w:rsidR="005C6942" w:rsidRPr="005C6942">
        <w:rPr>
          <w:rFonts w:ascii="Times New Roman" w:hAnsi="Times New Roman" w:cs="Times New Roman"/>
          <w:sz w:val="28"/>
          <w:szCs w:val="28"/>
          <w:lang w:val="uk-UA"/>
        </w:rPr>
        <w:t>проєкта</w:t>
      </w:r>
      <w:proofErr w:type="spellEnd"/>
      <w:r w:rsidR="005C6942" w:rsidRPr="005C69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6942" w:rsidRPr="005C6942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5C6942" w:rsidRPr="005C6942">
        <w:rPr>
          <w:rFonts w:ascii="Times New Roman" w:hAnsi="Times New Roman" w:cs="Times New Roman"/>
          <w:sz w:val="28"/>
          <w:szCs w:val="28"/>
          <w:lang w:val="uk-UA"/>
        </w:rPr>
        <w:t xml:space="preserve"> візи, що містить особистий підпис, власне ім’я та прізвище, посаду та дату погодження (візування).</w:t>
      </w:r>
    </w:p>
    <w:p w14:paraId="6744DE36" w14:textId="77777777" w:rsidR="00D629E3" w:rsidRPr="005C6942" w:rsidRDefault="00D629E3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C60EF5" w14:textId="77317407" w:rsidR="004F4F33" w:rsidRPr="00C53D77" w:rsidRDefault="00876EDD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4. СТРОКИ ТА ПОРЯДОК РОЗГЛЯДУ ПРОЄКТІВ АКТІВ, ЯКІ НАДІЙШЛИ НА ПОГОДЖЕННЯ (ВІЗУВАННЯ)</w:t>
      </w:r>
    </w:p>
    <w:p w14:paraId="0B1081CE" w14:textId="4E95AF6E" w:rsidR="00B13DF3" w:rsidRPr="00C53D77" w:rsidRDefault="004F4F33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="00A96C65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6C65" w:rsidRPr="00C53D77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="00A96C65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актів </w:t>
      </w:r>
      <w:r w:rsidR="0006327B" w:rsidRPr="0006327B">
        <w:rPr>
          <w:rFonts w:ascii="Times New Roman" w:hAnsi="Times New Roman" w:cs="Times New Roman"/>
          <w:sz w:val="28"/>
          <w:szCs w:val="28"/>
          <w:lang w:val="uk-UA"/>
        </w:rPr>
        <w:t xml:space="preserve">з моменту їх надходження через СЕД «Мегаполіс» </w:t>
      </w:r>
      <w:r w:rsidR="00A96C65" w:rsidRPr="00C53D77">
        <w:rPr>
          <w:rFonts w:ascii="Times New Roman" w:hAnsi="Times New Roman" w:cs="Times New Roman"/>
          <w:sz w:val="28"/>
          <w:szCs w:val="28"/>
          <w:lang w:val="uk-UA"/>
        </w:rPr>
        <w:t>підлягають розгляду суб’єктами погодження</w:t>
      </w:r>
      <w:r w:rsidR="00B13DF3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(візування)</w:t>
      </w:r>
      <w:r w:rsidR="00F61A5E" w:rsidRPr="00C53D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3DF3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1A5E" w:rsidRPr="00C53D77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B13DF3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здійснюють такий розгляд виключно в межах компетенції</w:t>
      </w:r>
      <w:r w:rsidR="00876EDD" w:rsidRPr="00C53D77">
        <w:rPr>
          <w:rFonts w:ascii="Times New Roman" w:hAnsi="Times New Roman" w:cs="Times New Roman"/>
          <w:sz w:val="28"/>
          <w:szCs w:val="28"/>
          <w:lang w:val="uk-UA"/>
        </w:rPr>
        <w:t>, визначен</w:t>
      </w:r>
      <w:r w:rsidR="007A0E0D" w:rsidRPr="00C53D7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76EDD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B99" w:rsidRPr="00C53D77">
        <w:rPr>
          <w:rFonts w:ascii="Times New Roman" w:hAnsi="Times New Roman" w:cs="Times New Roman"/>
          <w:sz w:val="28"/>
          <w:szCs w:val="28"/>
          <w:lang w:val="uk-UA"/>
        </w:rPr>
        <w:t>п. 2.2 цього</w:t>
      </w:r>
      <w:r w:rsidR="00876EDD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Порядк</w:t>
      </w:r>
      <w:r w:rsidR="00594B99" w:rsidRPr="00C53D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76EDD" w:rsidRPr="00C53D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3DF3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та функціональних обов’язків і не ма</w:t>
      </w:r>
      <w:r w:rsidR="00783C2A" w:rsidRPr="00C53D77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B13DF3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права виходити за їх межі.</w:t>
      </w:r>
    </w:p>
    <w:p w14:paraId="0CFE5378" w14:textId="71EE8567" w:rsidR="00B13DF3" w:rsidRPr="00C53D77" w:rsidRDefault="00783C2A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4.2. Погодження (візування)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у максимально стислі строки та за умови відсутності зауважень </w:t>
      </w:r>
      <w:r w:rsidR="00876EDD" w:rsidRPr="00C53D7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у день його надходження на погодження</w:t>
      </w:r>
      <w:r w:rsidR="00876EDD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(візування)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DC7A752" w14:textId="5F77E6C6" w:rsidR="00B13DF3" w:rsidRPr="00C53D77" w:rsidRDefault="00B13DF3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>4.3</w:t>
      </w:r>
      <w:r w:rsidR="0006327B" w:rsidRPr="00C53D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327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У разі </w:t>
      </w:r>
      <w:r w:rsidR="00D27C29" w:rsidRPr="00C53D77">
        <w:rPr>
          <w:rFonts w:ascii="Times New Roman" w:hAnsi="Times New Roman" w:cs="Times New Roman"/>
          <w:sz w:val="28"/>
          <w:szCs w:val="28"/>
          <w:lang w:val="uk-UA"/>
        </w:rPr>
        <w:t>потреби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додаткового опрацювання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, зокрема перевірки інформації, проведення розрахунків, здійснення правового аналізу чи узгодження позицій між структурними підрозділами, погодження (візування) або відхилення такого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не пізніше двох робочих днів з дня його надходження на погодження</w:t>
      </w:r>
      <w:r w:rsidR="00876EDD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(візування)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3C2A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D77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У такому випадку день завантаження </w:t>
      </w:r>
      <w:proofErr w:type="spellStart"/>
      <w:r w:rsidR="00C53D77" w:rsidRPr="00C53D7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C53D77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3D77"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C53D77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до СЕД «Мегаполіс» не враховується до встановленого строку його опрацювання.</w:t>
      </w:r>
    </w:p>
    <w:p w14:paraId="45D4C2CD" w14:textId="15DD35A4" w:rsidR="00783C2A" w:rsidRPr="00C53D77" w:rsidRDefault="00783C2A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>4.4</w:t>
      </w:r>
      <w:r w:rsidR="0006327B" w:rsidRPr="00C53D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327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У разі відхилення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суб’єкт погодження</w:t>
      </w:r>
      <w:r w:rsidR="007E7FF0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(візування)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зобов’язаний надати зауваження та пропозиції щодо його доопрацювання виключно в межах своєї компетенції</w:t>
      </w:r>
      <w:r w:rsidR="00876EDD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, визначеної </w:t>
      </w:r>
      <w:r w:rsidR="00594B99" w:rsidRPr="00C53D77">
        <w:rPr>
          <w:rFonts w:ascii="Times New Roman" w:hAnsi="Times New Roman" w:cs="Times New Roman"/>
          <w:sz w:val="28"/>
          <w:szCs w:val="28"/>
          <w:lang w:val="uk-UA"/>
        </w:rPr>
        <w:t>п. 2.2 цього</w:t>
      </w:r>
      <w:r w:rsidR="00876EDD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Порядк</w:t>
      </w:r>
      <w:r w:rsidR="00594B99" w:rsidRPr="00C53D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. Відхилення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з підстав, що не належать до </w:t>
      </w:r>
      <w:r w:rsidR="006B1135" w:rsidRPr="00C53D77">
        <w:rPr>
          <w:rFonts w:ascii="Times New Roman" w:hAnsi="Times New Roman" w:cs="Times New Roman"/>
          <w:sz w:val="28"/>
          <w:szCs w:val="28"/>
          <w:lang w:val="uk-UA"/>
        </w:rPr>
        <w:t>компетенції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такого суб’єкта</w:t>
      </w:r>
      <w:r w:rsid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D77" w:rsidRPr="00C53D77">
        <w:rPr>
          <w:rFonts w:ascii="Times New Roman" w:hAnsi="Times New Roman" w:cs="Times New Roman"/>
          <w:sz w:val="28"/>
          <w:szCs w:val="28"/>
          <w:lang w:val="uk-UA"/>
        </w:rPr>
        <w:t>погодження (візування)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, не допускається.</w:t>
      </w:r>
    </w:p>
    <w:p w14:paraId="5D46474E" w14:textId="4A548219" w:rsidR="00C53D77" w:rsidRPr="00C53D77" w:rsidRDefault="00C53D77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>4.5. У разі</w:t>
      </w:r>
      <w:r w:rsidR="000632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якщо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потребує термінового розгляду</w:t>
      </w:r>
      <w:r w:rsidRPr="005C6942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Pr="005C69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ерівник структурного підрозділу – ініціатор (розробник) </w:t>
      </w:r>
      <w:proofErr w:type="spellStart"/>
      <w:r w:rsidRPr="005C6942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Pr="005C69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5C6942">
        <w:rPr>
          <w:rFonts w:ascii="Times New Roman" w:hAnsi="Times New Roman" w:cs="Times New Roman"/>
          <w:bCs/>
          <w:sz w:val="28"/>
          <w:szCs w:val="28"/>
          <w:lang w:val="uk-UA"/>
        </w:rPr>
        <w:t>акт</w:t>
      </w:r>
      <w:r w:rsidR="0006327B" w:rsidRPr="005C6942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spellEnd"/>
      <w:r w:rsidRPr="00C53D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зобов’язаний завчасно інформувати відповідних суб’єктів погодження (візування) про необхідність прискореного розгляду.</w:t>
      </w:r>
    </w:p>
    <w:p w14:paraId="1FB9CFAC" w14:textId="77777777" w:rsidR="00D629E3" w:rsidRPr="00C53D77" w:rsidRDefault="00D629E3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547BC5" w14:textId="270FD6AB" w:rsidR="008D0F30" w:rsidRPr="00C53D77" w:rsidRDefault="00876EDD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6327B" w:rsidRPr="00C53D7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6327B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C53D77">
        <w:rPr>
          <w:rFonts w:ascii="Times New Roman" w:hAnsi="Times New Roman" w:cs="Times New Roman"/>
          <w:b/>
          <w:sz w:val="28"/>
          <w:szCs w:val="28"/>
          <w:lang w:val="uk-UA"/>
        </w:rPr>
        <w:t>ПОСЛІДОВНІСТЬ ПОГОДЖЕННЯ (ВІЗУВАННЯ) ПРОЄКТІВ АКТІВ</w:t>
      </w:r>
    </w:p>
    <w:p w14:paraId="79CBDCF8" w14:textId="33CE12B4" w:rsidR="008D0F30" w:rsidRPr="00C53D77" w:rsidRDefault="008D0F30" w:rsidP="003C6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>5.1</w:t>
      </w:r>
      <w:r w:rsidR="00367D45" w:rsidRPr="00C53D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6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Для запобігання </w:t>
      </w:r>
      <w:r w:rsidR="00367D45">
        <w:rPr>
          <w:rFonts w:ascii="Times New Roman" w:hAnsi="Times New Roman" w:cs="Times New Roman"/>
          <w:sz w:val="28"/>
          <w:szCs w:val="28"/>
          <w:lang w:val="uk-UA"/>
        </w:rPr>
        <w:t xml:space="preserve">безпідставному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затягуванню та забезпеченню незалежного контролю встановлюється наступна послідовність погодження (візування)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CC91247" w14:textId="51B72644" w:rsidR="00EF66AD" w:rsidRPr="005C6942" w:rsidRDefault="008D0F30" w:rsidP="003C6A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942">
        <w:rPr>
          <w:rFonts w:ascii="Times New Roman" w:hAnsi="Times New Roman" w:cs="Times New Roman"/>
          <w:sz w:val="28"/>
          <w:szCs w:val="28"/>
          <w:lang w:val="uk-UA"/>
        </w:rPr>
        <w:t xml:space="preserve">5.1.1. </w:t>
      </w:r>
      <w:r w:rsidR="00D629E3" w:rsidRPr="005C6942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r w:rsidR="00EF66AD" w:rsidRPr="005C6942">
        <w:rPr>
          <w:rFonts w:ascii="Times New Roman" w:hAnsi="Times New Roman" w:cs="Times New Roman"/>
          <w:sz w:val="28"/>
          <w:szCs w:val="28"/>
          <w:lang w:val="uk-UA"/>
        </w:rPr>
        <w:t>структурн</w:t>
      </w:r>
      <w:r w:rsidR="00D629E3" w:rsidRPr="005C694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EF66AD" w:rsidRPr="005C6942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 w:rsidR="00D629E3" w:rsidRPr="005C69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F66AD" w:rsidRPr="005C69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6EDD" w:rsidRPr="005C694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F66AD" w:rsidRPr="005C6942">
        <w:rPr>
          <w:rFonts w:ascii="Times New Roman" w:hAnsi="Times New Roman" w:cs="Times New Roman"/>
          <w:sz w:val="28"/>
          <w:szCs w:val="28"/>
          <w:lang w:val="uk-UA"/>
        </w:rPr>
        <w:t xml:space="preserve"> ініціатор (розробник) </w:t>
      </w:r>
      <w:proofErr w:type="spellStart"/>
      <w:r w:rsidR="00EF66AD" w:rsidRPr="005C6942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EF66AD" w:rsidRPr="005C69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66AD" w:rsidRPr="005C6942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EF66AD" w:rsidRPr="005C69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A4450D" w14:textId="09663B92" w:rsidR="00EF66AD" w:rsidRPr="00C53D77" w:rsidRDefault="00EF66AD" w:rsidP="003C6A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942">
        <w:rPr>
          <w:rFonts w:ascii="Times New Roman" w:hAnsi="Times New Roman" w:cs="Times New Roman"/>
          <w:sz w:val="28"/>
          <w:szCs w:val="28"/>
          <w:lang w:val="uk-UA"/>
        </w:rPr>
        <w:t>5.1.2. департамент управління справами;</w:t>
      </w:r>
    </w:p>
    <w:p w14:paraId="77F8DA4F" w14:textId="39CE39A8" w:rsidR="003418B0" w:rsidRPr="00C53D77" w:rsidRDefault="00EF66AD" w:rsidP="003C6A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5.1.3. </w:t>
      </w:r>
      <w:r w:rsidR="00591997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заінтересовані структурні підрозділи, управління бухгалтерського обліку та звітності, профспілковий комітет первинної профспілкової організації, орган студентського самоврядування, профком студентів – </w:t>
      </w:r>
      <w:r w:rsidR="003418B0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рішення щодо залучення вказаних підрозділів до погодження (візування) </w:t>
      </w:r>
      <w:proofErr w:type="spellStart"/>
      <w:r w:rsidR="003418B0" w:rsidRPr="00C53D7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3418B0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актів </w:t>
      </w:r>
      <w:r w:rsidR="00594B99" w:rsidRPr="00C53D77">
        <w:rPr>
          <w:rFonts w:ascii="Times New Roman" w:hAnsi="Times New Roman" w:cs="Times New Roman"/>
          <w:sz w:val="28"/>
          <w:szCs w:val="28"/>
          <w:lang w:val="uk-UA"/>
        </w:rPr>
        <w:t>приймається</w:t>
      </w:r>
      <w:r w:rsidR="003418B0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у разі, якщо такий документ містить положення, що належать до їхньої компетенції, стосуються їхньої безпосередньої діяльності або впливають на права та інтереси відповідних категорій працівників чи здобувачів освіти в межах </w:t>
      </w:r>
      <w:r w:rsidR="00594B99" w:rsidRPr="00C53D77">
        <w:rPr>
          <w:rFonts w:ascii="Times New Roman" w:hAnsi="Times New Roman" w:cs="Times New Roman"/>
          <w:sz w:val="28"/>
          <w:szCs w:val="28"/>
          <w:lang w:val="uk-UA"/>
        </w:rPr>
        <w:t>компетенції</w:t>
      </w:r>
      <w:r w:rsidR="003418B0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цих суб’єктів;</w:t>
      </w:r>
    </w:p>
    <w:p w14:paraId="405886DE" w14:textId="63D4C0AB" w:rsidR="003418B0" w:rsidRPr="00C53D77" w:rsidRDefault="003418B0" w:rsidP="003C6A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>5.1.4. юридичне управління</w:t>
      </w:r>
      <w:r w:rsidR="00C53D77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</w:t>
      </w:r>
      <w:proofErr w:type="spellStart"/>
      <w:r w:rsidR="00C53D77" w:rsidRPr="00C53D77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="00C53D77" w:rsidRPr="00C53D77">
        <w:rPr>
          <w:rFonts w:ascii="Times New Roman" w:hAnsi="Times New Roman" w:cs="Times New Roman"/>
          <w:sz w:val="28"/>
          <w:szCs w:val="28"/>
          <w:lang w:val="uk-UA"/>
        </w:rPr>
        <w:t>. 2.2.7 п. 2</w:t>
      </w:r>
      <w:r w:rsidR="00367D45">
        <w:rPr>
          <w:rFonts w:ascii="Times New Roman" w:hAnsi="Times New Roman" w:cs="Times New Roman"/>
          <w:sz w:val="28"/>
          <w:szCs w:val="28"/>
          <w:lang w:val="uk-UA"/>
        </w:rPr>
        <w:t>.2</w:t>
      </w:r>
      <w:r w:rsidR="00C53D77" w:rsidRPr="00C53D7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B1FFB6A" w14:textId="2420A27E" w:rsidR="003418B0" w:rsidRPr="00C53D77" w:rsidRDefault="003418B0" w:rsidP="003C6A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>5.1.</w:t>
      </w:r>
      <w:r w:rsidR="000632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327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відділ з питань запобігання та виявлення корупції</w:t>
      </w:r>
      <w:r w:rsidR="0089264F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(в межах компетенції)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002B92D1" w14:textId="13068E46" w:rsidR="0089264F" w:rsidRPr="00C53D77" w:rsidRDefault="0089264F" w:rsidP="003C6A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>5.1.</w:t>
      </w:r>
      <w:r w:rsidR="0006327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63F8C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профільний 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9F7D4F" w:rsidRPr="00C53D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00051B" w14:textId="1CA364DC" w:rsidR="0089264F" w:rsidRPr="00C53D77" w:rsidRDefault="0089264F" w:rsidP="003C6A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lastRenderedPageBreak/>
        <w:t>5.2</w:t>
      </w:r>
      <w:r w:rsidR="0006327B" w:rsidRPr="00C53D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327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629E3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Послідовність погодження (візування), визначена </w:t>
      </w:r>
      <w:r w:rsidR="0006327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629E3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п. 5.1 цього Порядку</w:t>
      </w:r>
      <w:r w:rsidR="00725AE9" w:rsidRPr="00C53D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29E3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може змінюватися відповідно до організаційної структури та підпорядкованості</w:t>
      </w:r>
      <w:r w:rsidR="00725AE9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структурного</w:t>
      </w:r>
      <w:r w:rsidR="00D629E3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підрозділу. У разі безпосереднього підпорядкування структурного підрозділу ректору етап погодження</w:t>
      </w:r>
      <w:r w:rsidR="006B1135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(візування)</w:t>
      </w:r>
      <w:r w:rsidR="00D629E3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профільним проректором виключається або замінюється </w:t>
      </w:r>
      <w:r w:rsidR="00D27C29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погодженням (візуванням) </w:t>
      </w:r>
      <w:r w:rsidR="00D629E3" w:rsidRPr="00C53D77">
        <w:rPr>
          <w:rFonts w:ascii="Times New Roman" w:hAnsi="Times New Roman" w:cs="Times New Roman"/>
          <w:sz w:val="28"/>
          <w:szCs w:val="28"/>
          <w:lang w:val="uk-UA"/>
        </w:rPr>
        <w:t>іншої уповноваженої</w:t>
      </w:r>
      <w:r w:rsidR="00C53D77">
        <w:rPr>
          <w:rFonts w:ascii="Times New Roman" w:hAnsi="Times New Roman" w:cs="Times New Roman"/>
          <w:sz w:val="28"/>
          <w:szCs w:val="28"/>
          <w:lang w:val="uk-UA"/>
        </w:rPr>
        <w:t xml:space="preserve"> посадової</w:t>
      </w:r>
      <w:r w:rsidR="00D629E3"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особи згідно з розподілом функціональних обов’язків.</w:t>
      </w:r>
    </w:p>
    <w:p w14:paraId="23DB8FFB" w14:textId="43611BDF" w:rsidR="00C53D77" w:rsidRPr="00C53D77" w:rsidRDefault="00C53D77" w:rsidP="003C6A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5.3. У разі встановлення під час погодження (візування), що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потребує розгляду іншою уповноваженою посадовою особою в межах ї</w:t>
      </w:r>
      <w:r w:rsidR="0006327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компетенції, суб’єкт погодження (візування) має право додати іншу уповноважену посадову особу до маршруту погодження в СЕД «Мегаполіс» із відповідним обґрунтуванням.</w:t>
      </w:r>
    </w:p>
    <w:p w14:paraId="00FDCE2F" w14:textId="7F770C94" w:rsidR="00C53D77" w:rsidRPr="00C53D77" w:rsidRDefault="00C53D77" w:rsidP="003C6A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D77">
        <w:rPr>
          <w:rFonts w:ascii="Times New Roman" w:hAnsi="Times New Roman" w:cs="Times New Roman"/>
          <w:sz w:val="28"/>
          <w:szCs w:val="28"/>
          <w:lang w:val="uk-UA"/>
        </w:rPr>
        <w:t>5.4. У разі</w:t>
      </w:r>
      <w:r w:rsidR="000632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якщо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з обмеженим доступом, в тому числі конфіденційну, службову або іншу чутливу інформацію, а також у разі іншої необхідності, ректор має право самостійно визначити послідовність та кількість суб’єктів погодження (візування) такого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D77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4E0E0F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C53D77">
        <w:rPr>
          <w:rFonts w:ascii="Times New Roman" w:hAnsi="Times New Roman" w:cs="Times New Roman"/>
          <w:sz w:val="28"/>
          <w:szCs w:val="28"/>
          <w:lang w:val="uk-UA"/>
        </w:rPr>
        <w:t xml:space="preserve"> та визначити особливості його розгляду з урахуванням вимог чинного законодавства.</w:t>
      </w:r>
    </w:p>
    <w:p w14:paraId="5A610D95" w14:textId="5852F86D" w:rsidR="00C53D77" w:rsidRPr="00C53D77" w:rsidRDefault="00C53D77" w:rsidP="003C6A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FE067" w14:textId="77777777" w:rsidR="00C53D77" w:rsidRPr="006415F4" w:rsidRDefault="00C53D77" w:rsidP="003C6A84">
      <w:pPr>
        <w:tabs>
          <w:tab w:val="left" w:pos="993"/>
          <w:tab w:val="left" w:pos="1276"/>
        </w:tabs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15F4">
        <w:rPr>
          <w:rFonts w:ascii="Times New Roman" w:hAnsi="Times New Roman" w:cs="Times New Roman"/>
          <w:b/>
          <w:bCs/>
          <w:sz w:val="28"/>
          <w:szCs w:val="28"/>
          <w:lang w:val="uk-UA"/>
        </w:rPr>
        <w:t>6. ВІДПОВІДАЛЬНІСТЬ СУБ’ЄКТІВ ПОГОДЖЕННЯ (ВІЗУВАННЯ) ПРОЄКТІВ АКТІВ</w:t>
      </w:r>
    </w:p>
    <w:p w14:paraId="2E10BF83" w14:textId="686E6F97" w:rsidR="00C53D77" w:rsidRPr="006415F4" w:rsidRDefault="00C53D77" w:rsidP="003C6A84">
      <w:pPr>
        <w:tabs>
          <w:tab w:val="left" w:pos="1134"/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6.1. Відповідальність за зміст </w:t>
      </w:r>
      <w:proofErr w:type="spellStart"/>
      <w:r w:rsidRPr="006415F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15F4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компетенції, визначеної цим Порядком, несуть усі уповноважені посадові особи, які його погодили (завізували).</w:t>
      </w:r>
    </w:p>
    <w:p w14:paraId="538FD43D" w14:textId="152A906A" w:rsidR="00C53D77" w:rsidRPr="006415F4" w:rsidRDefault="00C53D77" w:rsidP="003C6A84">
      <w:pPr>
        <w:tabs>
          <w:tab w:val="left" w:pos="993"/>
          <w:tab w:val="left" w:pos="1276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6.2. </w:t>
      </w:r>
      <w:r w:rsidRPr="006415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Керівник структурного підрозділу – ініціатор (розробник) </w:t>
      </w:r>
      <w:proofErr w:type="spellStart"/>
      <w:r w:rsidRPr="006415F4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Pr="006415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415F4">
        <w:rPr>
          <w:rFonts w:ascii="Times New Roman" w:hAnsi="Times New Roman" w:cs="Times New Roman"/>
          <w:bCs/>
          <w:sz w:val="28"/>
          <w:szCs w:val="28"/>
          <w:lang w:val="uk-UA"/>
        </w:rPr>
        <w:t>акт</w:t>
      </w:r>
      <w:r w:rsidR="00367D45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spellEnd"/>
      <w:r w:rsidRPr="006415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несе відповідальність за </w:t>
      </w:r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підготовку </w:t>
      </w:r>
      <w:proofErr w:type="spellStart"/>
      <w:r w:rsidRPr="006415F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15F4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, достовірність, повноту та обґрунтованість інформації, викладеної у </w:t>
      </w:r>
      <w:proofErr w:type="spellStart"/>
      <w:r w:rsidRPr="006415F4">
        <w:rPr>
          <w:rFonts w:ascii="Times New Roman" w:hAnsi="Times New Roman" w:cs="Times New Roman"/>
          <w:sz w:val="28"/>
          <w:szCs w:val="28"/>
          <w:lang w:val="uk-UA"/>
        </w:rPr>
        <w:t>проєкті</w:t>
      </w:r>
      <w:proofErr w:type="spellEnd"/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15F4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, а також за своєчасне направлення </w:t>
      </w:r>
      <w:proofErr w:type="spellStart"/>
      <w:r w:rsidRPr="006415F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15F4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 на погодження (візування) через СЕД «Мегаполіс».</w:t>
      </w:r>
    </w:p>
    <w:p w14:paraId="4FCE0538" w14:textId="4B1A2A62" w:rsidR="00C53D77" w:rsidRPr="006415F4" w:rsidRDefault="00C53D77" w:rsidP="003C6A84">
      <w:pPr>
        <w:tabs>
          <w:tab w:val="left" w:pos="993"/>
          <w:tab w:val="left" w:pos="1276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6.3. Профспілковий комітет первинної профспілкової організації під час погодження (візування) </w:t>
      </w:r>
      <w:proofErr w:type="spellStart"/>
      <w:r w:rsidRPr="006415F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 актів несе відповідальність за своєчасність їх розгляду, повноту та обґрунтованість наданих зауважень і пропозицій у межах компетенції, визначеної законодавством України, Колективним договором</w:t>
      </w:r>
      <w:r w:rsidR="004E0E0F">
        <w:rPr>
          <w:rFonts w:ascii="Times New Roman" w:hAnsi="Times New Roman" w:cs="Times New Roman"/>
          <w:sz w:val="28"/>
          <w:szCs w:val="28"/>
          <w:lang w:val="uk-UA"/>
        </w:rPr>
        <w:t xml:space="preserve"> КПІ ім. Ігоря Сікорського</w:t>
      </w:r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 та цим Порядком.</w:t>
      </w:r>
    </w:p>
    <w:p w14:paraId="2DAB261D" w14:textId="2FC96B10" w:rsidR="00C53D77" w:rsidRPr="006415F4" w:rsidRDefault="00C53D77" w:rsidP="003C6A84">
      <w:pPr>
        <w:tabs>
          <w:tab w:val="left" w:pos="993"/>
          <w:tab w:val="left" w:pos="1276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5F4">
        <w:rPr>
          <w:rFonts w:ascii="Times New Roman" w:hAnsi="Times New Roman" w:cs="Times New Roman"/>
          <w:sz w:val="28"/>
          <w:szCs w:val="28"/>
          <w:lang w:val="uk-UA"/>
        </w:rPr>
        <w:t>6.4</w:t>
      </w:r>
      <w:r w:rsidR="004E0E0F" w:rsidRPr="006415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0E0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Суб’єкти погодження (візування) несуть відповідальність за своєчасність здійснення погодження (візування) виключно в межах компетенції та функціональних обов’язків, недопущення безпідставного затягування строків погодження (візування) </w:t>
      </w:r>
      <w:proofErr w:type="spellStart"/>
      <w:r w:rsidRPr="006415F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4E0E0F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15F4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6415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E1E82D" w14:textId="5D1D08C5" w:rsidR="00C53D77" w:rsidRPr="006415F4" w:rsidRDefault="00C53D77" w:rsidP="003C6A84">
      <w:pPr>
        <w:tabs>
          <w:tab w:val="left" w:pos="993"/>
          <w:tab w:val="left" w:pos="1276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5F4">
        <w:rPr>
          <w:rFonts w:ascii="Times New Roman" w:hAnsi="Times New Roman" w:cs="Times New Roman"/>
          <w:sz w:val="28"/>
          <w:szCs w:val="28"/>
          <w:lang w:val="uk-UA"/>
        </w:rPr>
        <w:t>6.5</w:t>
      </w:r>
      <w:r w:rsidR="004E0E0F" w:rsidRPr="006415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0E0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У разі порушення строків погодження (візування), безпідставного відхилення </w:t>
      </w:r>
      <w:proofErr w:type="spellStart"/>
      <w:r w:rsidRPr="006415F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15F4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 або виходу суб’єкта погодження (візування) за межі визначеної компетенції, </w:t>
      </w:r>
      <w:r w:rsidRPr="005C6942">
        <w:rPr>
          <w:rFonts w:ascii="Times New Roman" w:hAnsi="Times New Roman" w:cs="Times New Roman"/>
          <w:sz w:val="28"/>
          <w:szCs w:val="28"/>
          <w:lang w:val="uk-UA"/>
        </w:rPr>
        <w:t>ініціатор (розробник)</w:t>
      </w:r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15F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15F4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6415F4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зобов’язаний звернутися до департаменту управління справами з метою фіксації відповідного </w:t>
      </w:r>
      <w:r w:rsidRPr="006415F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порушення та подальшого інформування ректора для прийняття управлінських рішень.</w:t>
      </w:r>
    </w:p>
    <w:p w14:paraId="02114BA3" w14:textId="3DE6641A" w:rsidR="00C53D77" w:rsidRPr="006415F4" w:rsidRDefault="00C53D77" w:rsidP="003C6A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5F4">
        <w:rPr>
          <w:rFonts w:ascii="Times New Roman" w:hAnsi="Times New Roman" w:cs="Times New Roman"/>
          <w:sz w:val="28"/>
          <w:szCs w:val="28"/>
          <w:lang w:val="uk-UA"/>
        </w:rPr>
        <w:t>6.6</w:t>
      </w:r>
      <w:r w:rsidR="004E0E0F" w:rsidRPr="006415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0E0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415F4">
        <w:rPr>
          <w:rFonts w:ascii="Times New Roman" w:hAnsi="Times New Roman" w:cs="Times New Roman"/>
          <w:sz w:val="28"/>
          <w:szCs w:val="28"/>
          <w:lang w:val="uk-UA"/>
        </w:rPr>
        <w:t>Департамент управління справами забезпечує контроль за дотриманням суб’єктами погодження (візування) вимог цього Порядку. У разі виявлення порушень департамент управління справами інформує ректора та готує пропозиції щодо вжиття заходів реагування відповідно до чинного законодавства та внутрішніх актів Університету.</w:t>
      </w:r>
    </w:p>
    <w:p w14:paraId="3AA673B0" w14:textId="77777777" w:rsidR="00D629E3" w:rsidRPr="006415F4" w:rsidRDefault="00D629E3" w:rsidP="003C6A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2B5AAE" w14:textId="7042AC62" w:rsidR="0003144C" w:rsidRPr="006415F4" w:rsidRDefault="0003144C" w:rsidP="003C6A84">
      <w:p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DC3060" w14:textId="7B95C70D" w:rsidR="0003144C" w:rsidRPr="00C53D77" w:rsidRDefault="0003144C" w:rsidP="00287D95">
      <w:pPr>
        <w:tabs>
          <w:tab w:val="num" w:pos="720"/>
        </w:tabs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1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Ректор </w:t>
      </w:r>
      <w:r w:rsidRPr="006415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415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415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415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415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415F4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Анатолій МЕЛЬНИЧЕНКО</w:t>
      </w:r>
    </w:p>
    <w:sectPr w:rsidR="0003144C" w:rsidRPr="00C53D77" w:rsidSect="000A01AE">
      <w:footerReference w:type="default" r:id="rId8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4AC7" w14:textId="77777777" w:rsidR="00EC2FAB" w:rsidRDefault="00EC2FAB" w:rsidP="009F7D4F">
      <w:pPr>
        <w:spacing w:after="0" w:line="240" w:lineRule="auto"/>
      </w:pPr>
      <w:r>
        <w:separator/>
      </w:r>
    </w:p>
  </w:endnote>
  <w:endnote w:type="continuationSeparator" w:id="0">
    <w:p w14:paraId="481C4C2E" w14:textId="77777777" w:rsidR="00EC2FAB" w:rsidRDefault="00EC2FAB" w:rsidP="009F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161024"/>
      <w:docPartObj>
        <w:docPartGallery w:val="Page Numbers (Bottom of Page)"/>
        <w:docPartUnique/>
      </w:docPartObj>
    </w:sdtPr>
    <w:sdtContent>
      <w:p w14:paraId="17092026" w14:textId="5E9FAC0D" w:rsidR="009F7D4F" w:rsidRDefault="009F7D4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B5CFB0C" w14:textId="77777777" w:rsidR="009F7D4F" w:rsidRDefault="009F7D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AAC2" w14:textId="77777777" w:rsidR="00EC2FAB" w:rsidRDefault="00EC2FAB" w:rsidP="009F7D4F">
      <w:pPr>
        <w:spacing w:after="0" w:line="240" w:lineRule="auto"/>
      </w:pPr>
      <w:r>
        <w:separator/>
      </w:r>
    </w:p>
  </w:footnote>
  <w:footnote w:type="continuationSeparator" w:id="0">
    <w:p w14:paraId="66E06B5B" w14:textId="77777777" w:rsidR="00EC2FAB" w:rsidRDefault="00EC2FAB" w:rsidP="009F7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91A"/>
    <w:multiLevelType w:val="multilevel"/>
    <w:tmpl w:val="A1FA994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3C72156"/>
    <w:multiLevelType w:val="multilevel"/>
    <w:tmpl w:val="0CC4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12D1D"/>
    <w:multiLevelType w:val="multilevel"/>
    <w:tmpl w:val="EEAE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31FBD"/>
    <w:multiLevelType w:val="multilevel"/>
    <w:tmpl w:val="A8A8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54807"/>
    <w:multiLevelType w:val="multilevel"/>
    <w:tmpl w:val="E93A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22B1A"/>
    <w:multiLevelType w:val="multilevel"/>
    <w:tmpl w:val="676E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F2028"/>
    <w:multiLevelType w:val="multilevel"/>
    <w:tmpl w:val="A4C23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740C0"/>
    <w:multiLevelType w:val="multilevel"/>
    <w:tmpl w:val="AE4A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13ED8"/>
    <w:multiLevelType w:val="multilevel"/>
    <w:tmpl w:val="2EA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268B1"/>
    <w:multiLevelType w:val="hybridMultilevel"/>
    <w:tmpl w:val="06DEC288"/>
    <w:lvl w:ilvl="0" w:tplc="C47EAB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82AFE"/>
    <w:multiLevelType w:val="multilevel"/>
    <w:tmpl w:val="2EB0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47F5F"/>
    <w:multiLevelType w:val="multilevel"/>
    <w:tmpl w:val="4D66D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B37BAF"/>
    <w:multiLevelType w:val="multilevel"/>
    <w:tmpl w:val="7B4E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692679"/>
    <w:multiLevelType w:val="multilevel"/>
    <w:tmpl w:val="369A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72F7B"/>
    <w:multiLevelType w:val="multilevel"/>
    <w:tmpl w:val="9040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07713"/>
    <w:multiLevelType w:val="multilevel"/>
    <w:tmpl w:val="B852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2789E"/>
    <w:multiLevelType w:val="multilevel"/>
    <w:tmpl w:val="4E90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22E4C"/>
    <w:multiLevelType w:val="multilevel"/>
    <w:tmpl w:val="B2E0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6A3148"/>
    <w:multiLevelType w:val="multilevel"/>
    <w:tmpl w:val="BF58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89105A"/>
    <w:multiLevelType w:val="multilevel"/>
    <w:tmpl w:val="0814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8B4704"/>
    <w:multiLevelType w:val="multilevel"/>
    <w:tmpl w:val="56F2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C7517D"/>
    <w:multiLevelType w:val="multilevel"/>
    <w:tmpl w:val="FF0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B11BCC"/>
    <w:multiLevelType w:val="hybridMultilevel"/>
    <w:tmpl w:val="AC5A9826"/>
    <w:lvl w:ilvl="0" w:tplc="6DEEE2E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B228A"/>
    <w:multiLevelType w:val="hybridMultilevel"/>
    <w:tmpl w:val="644E7000"/>
    <w:lvl w:ilvl="0" w:tplc="09F41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EC566A7"/>
    <w:multiLevelType w:val="multilevel"/>
    <w:tmpl w:val="A41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0187C"/>
    <w:multiLevelType w:val="multilevel"/>
    <w:tmpl w:val="E76A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81557"/>
    <w:multiLevelType w:val="multilevel"/>
    <w:tmpl w:val="C7A4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A113A8"/>
    <w:multiLevelType w:val="hybridMultilevel"/>
    <w:tmpl w:val="9A4E3A7A"/>
    <w:lvl w:ilvl="0" w:tplc="D99A7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271EC5"/>
    <w:multiLevelType w:val="multilevel"/>
    <w:tmpl w:val="3778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296CAD"/>
    <w:multiLevelType w:val="multilevel"/>
    <w:tmpl w:val="F25A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493BA1"/>
    <w:multiLevelType w:val="multilevel"/>
    <w:tmpl w:val="7CFAE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5F07F7"/>
    <w:multiLevelType w:val="multilevel"/>
    <w:tmpl w:val="A1FA994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6F1D70BF"/>
    <w:multiLevelType w:val="multilevel"/>
    <w:tmpl w:val="3EA0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9A62FB"/>
    <w:multiLevelType w:val="multilevel"/>
    <w:tmpl w:val="1248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010285"/>
    <w:multiLevelType w:val="multilevel"/>
    <w:tmpl w:val="AA76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604044"/>
    <w:multiLevelType w:val="multilevel"/>
    <w:tmpl w:val="4C56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9D6A3E"/>
    <w:multiLevelType w:val="multilevel"/>
    <w:tmpl w:val="31A8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950A07"/>
    <w:multiLevelType w:val="multilevel"/>
    <w:tmpl w:val="A1FA994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77DB54FA"/>
    <w:multiLevelType w:val="multilevel"/>
    <w:tmpl w:val="80D4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2A115E"/>
    <w:multiLevelType w:val="multilevel"/>
    <w:tmpl w:val="D8DE5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1D6064"/>
    <w:multiLevelType w:val="multilevel"/>
    <w:tmpl w:val="4F84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23833">
    <w:abstractNumId w:val="22"/>
  </w:num>
  <w:num w:numId="2" w16cid:durableId="1956669425">
    <w:abstractNumId w:val="27"/>
  </w:num>
  <w:num w:numId="3" w16cid:durableId="1647512161">
    <w:abstractNumId w:val="23"/>
  </w:num>
  <w:num w:numId="4" w16cid:durableId="682630635">
    <w:abstractNumId w:val="4"/>
  </w:num>
  <w:num w:numId="5" w16cid:durableId="1132863655">
    <w:abstractNumId w:val="40"/>
  </w:num>
  <w:num w:numId="6" w16cid:durableId="496044611">
    <w:abstractNumId w:val="36"/>
  </w:num>
  <w:num w:numId="7" w16cid:durableId="2123764030">
    <w:abstractNumId w:val="14"/>
  </w:num>
  <w:num w:numId="8" w16cid:durableId="992295505">
    <w:abstractNumId w:val="17"/>
  </w:num>
  <w:num w:numId="9" w16cid:durableId="1275332028">
    <w:abstractNumId w:val="38"/>
  </w:num>
  <w:num w:numId="10" w16cid:durableId="226965408">
    <w:abstractNumId w:val="24"/>
  </w:num>
  <w:num w:numId="11" w16cid:durableId="741833657">
    <w:abstractNumId w:val="15"/>
  </w:num>
  <w:num w:numId="12" w16cid:durableId="128284788">
    <w:abstractNumId w:val="35"/>
  </w:num>
  <w:num w:numId="13" w16cid:durableId="123013691">
    <w:abstractNumId w:val="7"/>
  </w:num>
  <w:num w:numId="14" w16cid:durableId="1217814784">
    <w:abstractNumId w:val="12"/>
  </w:num>
  <w:num w:numId="15" w16cid:durableId="1512837974">
    <w:abstractNumId w:val="39"/>
  </w:num>
  <w:num w:numId="16" w16cid:durableId="1020007906">
    <w:abstractNumId w:val="20"/>
  </w:num>
  <w:num w:numId="17" w16cid:durableId="843980848">
    <w:abstractNumId w:val="21"/>
  </w:num>
  <w:num w:numId="18" w16cid:durableId="712270288">
    <w:abstractNumId w:val="25"/>
  </w:num>
  <w:num w:numId="19" w16cid:durableId="1213612909">
    <w:abstractNumId w:val="19"/>
  </w:num>
  <w:num w:numId="20" w16cid:durableId="496698535">
    <w:abstractNumId w:val="34"/>
  </w:num>
  <w:num w:numId="21" w16cid:durableId="1892686999">
    <w:abstractNumId w:val="3"/>
  </w:num>
  <w:num w:numId="22" w16cid:durableId="121535671">
    <w:abstractNumId w:val="2"/>
  </w:num>
  <w:num w:numId="23" w16cid:durableId="175847019">
    <w:abstractNumId w:val="6"/>
  </w:num>
  <w:num w:numId="24" w16cid:durableId="33968566">
    <w:abstractNumId w:val="18"/>
  </w:num>
  <w:num w:numId="25" w16cid:durableId="1703166984">
    <w:abstractNumId w:val="30"/>
  </w:num>
  <w:num w:numId="26" w16cid:durableId="1686394886">
    <w:abstractNumId w:val="28"/>
  </w:num>
  <w:num w:numId="27" w16cid:durableId="1257131348">
    <w:abstractNumId w:val="9"/>
  </w:num>
  <w:num w:numId="28" w16cid:durableId="1446850331">
    <w:abstractNumId w:val="11"/>
  </w:num>
  <w:num w:numId="29" w16cid:durableId="2026518777">
    <w:abstractNumId w:val="37"/>
  </w:num>
  <w:num w:numId="30" w16cid:durableId="2079668161">
    <w:abstractNumId w:val="32"/>
  </w:num>
  <w:num w:numId="31" w16cid:durableId="491875210">
    <w:abstractNumId w:val="13"/>
  </w:num>
  <w:num w:numId="32" w16cid:durableId="1080257033">
    <w:abstractNumId w:val="29"/>
  </w:num>
  <w:num w:numId="33" w16cid:durableId="2052152070">
    <w:abstractNumId w:val="8"/>
  </w:num>
  <w:num w:numId="34" w16cid:durableId="1207572374">
    <w:abstractNumId w:val="33"/>
  </w:num>
  <w:num w:numId="35" w16cid:durableId="2093382760">
    <w:abstractNumId w:val="26"/>
  </w:num>
  <w:num w:numId="36" w16cid:durableId="1825002534">
    <w:abstractNumId w:val="0"/>
  </w:num>
  <w:num w:numId="37" w16cid:durableId="489254171">
    <w:abstractNumId w:val="5"/>
  </w:num>
  <w:num w:numId="38" w16cid:durableId="1358390600">
    <w:abstractNumId w:val="1"/>
  </w:num>
  <w:num w:numId="39" w16cid:durableId="1735008735">
    <w:abstractNumId w:val="10"/>
  </w:num>
  <w:num w:numId="40" w16cid:durableId="281038560">
    <w:abstractNumId w:val="16"/>
  </w:num>
  <w:num w:numId="41" w16cid:durableId="11134810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21"/>
    <w:rsid w:val="000102D4"/>
    <w:rsid w:val="00011246"/>
    <w:rsid w:val="0003144C"/>
    <w:rsid w:val="00053C8D"/>
    <w:rsid w:val="0006327B"/>
    <w:rsid w:val="000A01AE"/>
    <w:rsid w:val="000A25CC"/>
    <w:rsid w:val="000D6222"/>
    <w:rsid w:val="00127825"/>
    <w:rsid w:val="00132E9C"/>
    <w:rsid w:val="00134904"/>
    <w:rsid w:val="00134B38"/>
    <w:rsid w:val="00154A10"/>
    <w:rsid w:val="00167465"/>
    <w:rsid w:val="00184BDC"/>
    <w:rsid w:val="001A05B7"/>
    <w:rsid w:val="001B24C0"/>
    <w:rsid w:val="001B5DAC"/>
    <w:rsid w:val="001D546E"/>
    <w:rsid w:val="001F7ED2"/>
    <w:rsid w:val="00206806"/>
    <w:rsid w:val="00255D86"/>
    <w:rsid w:val="002735B5"/>
    <w:rsid w:val="00287D95"/>
    <w:rsid w:val="002930AC"/>
    <w:rsid w:val="002A6145"/>
    <w:rsid w:val="002D2A2A"/>
    <w:rsid w:val="002F1BA4"/>
    <w:rsid w:val="003109D8"/>
    <w:rsid w:val="00317206"/>
    <w:rsid w:val="003418B0"/>
    <w:rsid w:val="00367D45"/>
    <w:rsid w:val="00387890"/>
    <w:rsid w:val="003B4910"/>
    <w:rsid w:val="003C6A84"/>
    <w:rsid w:val="003F545A"/>
    <w:rsid w:val="00404368"/>
    <w:rsid w:val="00415065"/>
    <w:rsid w:val="00424D7A"/>
    <w:rsid w:val="0044268C"/>
    <w:rsid w:val="0045735F"/>
    <w:rsid w:val="00466390"/>
    <w:rsid w:val="004757EB"/>
    <w:rsid w:val="00497D11"/>
    <w:rsid w:val="004A307E"/>
    <w:rsid w:val="004C5CBB"/>
    <w:rsid w:val="004D4326"/>
    <w:rsid w:val="004E0E0F"/>
    <w:rsid w:val="004E75EB"/>
    <w:rsid w:val="004F2D7C"/>
    <w:rsid w:val="004F4F33"/>
    <w:rsid w:val="00591997"/>
    <w:rsid w:val="00594B99"/>
    <w:rsid w:val="005B3ED9"/>
    <w:rsid w:val="005C5D72"/>
    <w:rsid w:val="005C6942"/>
    <w:rsid w:val="005D0F87"/>
    <w:rsid w:val="005D50BD"/>
    <w:rsid w:val="00613674"/>
    <w:rsid w:val="006415F4"/>
    <w:rsid w:val="00663F8C"/>
    <w:rsid w:val="006712BE"/>
    <w:rsid w:val="0068011D"/>
    <w:rsid w:val="00691BCF"/>
    <w:rsid w:val="00691E91"/>
    <w:rsid w:val="006B1135"/>
    <w:rsid w:val="006B5751"/>
    <w:rsid w:val="006B5A22"/>
    <w:rsid w:val="006D2F57"/>
    <w:rsid w:val="006E023C"/>
    <w:rsid w:val="00725AE9"/>
    <w:rsid w:val="00727627"/>
    <w:rsid w:val="0073527D"/>
    <w:rsid w:val="00736D37"/>
    <w:rsid w:val="00753F98"/>
    <w:rsid w:val="007577E0"/>
    <w:rsid w:val="00783C2A"/>
    <w:rsid w:val="007A0E0D"/>
    <w:rsid w:val="007B31F2"/>
    <w:rsid w:val="007D327D"/>
    <w:rsid w:val="007E0AE0"/>
    <w:rsid w:val="007E7FF0"/>
    <w:rsid w:val="008268FF"/>
    <w:rsid w:val="008445D1"/>
    <w:rsid w:val="00854910"/>
    <w:rsid w:val="00876EDD"/>
    <w:rsid w:val="0089264F"/>
    <w:rsid w:val="008B4E41"/>
    <w:rsid w:val="008D0F30"/>
    <w:rsid w:val="008E375D"/>
    <w:rsid w:val="00927C8E"/>
    <w:rsid w:val="00962B8F"/>
    <w:rsid w:val="00983BB5"/>
    <w:rsid w:val="00992086"/>
    <w:rsid w:val="009C2579"/>
    <w:rsid w:val="009F7D4F"/>
    <w:rsid w:val="00A916B7"/>
    <w:rsid w:val="00A94780"/>
    <w:rsid w:val="00A96C65"/>
    <w:rsid w:val="00AB4A76"/>
    <w:rsid w:val="00AC566D"/>
    <w:rsid w:val="00AE2475"/>
    <w:rsid w:val="00B13DF3"/>
    <w:rsid w:val="00B71314"/>
    <w:rsid w:val="00BB45FE"/>
    <w:rsid w:val="00BE10AE"/>
    <w:rsid w:val="00BE6A3F"/>
    <w:rsid w:val="00BF616B"/>
    <w:rsid w:val="00C00437"/>
    <w:rsid w:val="00C3182B"/>
    <w:rsid w:val="00C378F7"/>
    <w:rsid w:val="00C53D77"/>
    <w:rsid w:val="00C63E62"/>
    <w:rsid w:val="00C644E1"/>
    <w:rsid w:val="00C770A0"/>
    <w:rsid w:val="00C81CDB"/>
    <w:rsid w:val="00C9197B"/>
    <w:rsid w:val="00CC29F6"/>
    <w:rsid w:val="00CC3BBE"/>
    <w:rsid w:val="00CE7524"/>
    <w:rsid w:val="00D27C29"/>
    <w:rsid w:val="00D5394A"/>
    <w:rsid w:val="00D55225"/>
    <w:rsid w:val="00D629E3"/>
    <w:rsid w:val="00D73C81"/>
    <w:rsid w:val="00DA0CEE"/>
    <w:rsid w:val="00DA6284"/>
    <w:rsid w:val="00DB225B"/>
    <w:rsid w:val="00DF78F7"/>
    <w:rsid w:val="00E06321"/>
    <w:rsid w:val="00E13ADE"/>
    <w:rsid w:val="00E367B3"/>
    <w:rsid w:val="00E36A7A"/>
    <w:rsid w:val="00E651B3"/>
    <w:rsid w:val="00E816D4"/>
    <w:rsid w:val="00E83166"/>
    <w:rsid w:val="00E9633D"/>
    <w:rsid w:val="00EC2FAB"/>
    <w:rsid w:val="00EF66AD"/>
    <w:rsid w:val="00F246F6"/>
    <w:rsid w:val="00F320F8"/>
    <w:rsid w:val="00F61A5E"/>
    <w:rsid w:val="00F76371"/>
    <w:rsid w:val="00F861B3"/>
    <w:rsid w:val="00F86D6B"/>
    <w:rsid w:val="00FA7CB0"/>
    <w:rsid w:val="00FC5B1F"/>
    <w:rsid w:val="00FE32F3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FAF6"/>
  <w15:chartTrackingRefBased/>
  <w15:docId w15:val="{7CBDE364-2868-4625-8662-C3647440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32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2D7C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757E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F7D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D4F"/>
  </w:style>
  <w:style w:type="paragraph" w:styleId="a8">
    <w:name w:val="footer"/>
    <w:basedOn w:val="a"/>
    <w:link w:val="a9"/>
    <w:uiPriority w:val="99"/>
    <w:unhideWhenUsed/>
    <w:rsid w:val="009F7D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D4F"/>
  </w:style>
  <w:style w:type="paragraph" w:styleId="aa">
    <w:name w:val="Revision"/>
    <w:hidden/>
    <w:uiPriority w:val="99"/>
    <w:semiHidden/>
    <w:rsid w:val="003C6A84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713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713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7131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713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7131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C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6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4E79F-1E86-4DD6-B72B-A49E43F6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1935</Words>
  <Characters>11034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Валерія</cp:lastModifiedBy>
  <cp:revision>2</cp:revision>
  <cp:lastPrinted>2026-05-06T06:43:00Z</cp:lastPrinted>
  <dcterms:created xsi:type="dcterms:W3CDTF">2026-05-12T00:38:00Z</dcterms:created>
  <dcterms:modified xsi:type="dcterms:W3CDTF">2026-05-12T00:38:00Z</dcterms:modified>
</cp:coreProperties>
</file>